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E3B09" w:rsidRDefault="00DE3B09">
      <w:pPr>
        <w:pStyle w:val="BodyA"/>
        <w:jc w:val="center"/>
        <w:rPr>
          <w:b/>
          <w:bCs/>
          <w:lang w:val="en-GB"/>
        </w:rPr>
      </w:pPr>
    </w:p>
    <w:p w:rsidR="0000459C" w:rsidRDefault="00B775A0">
      <w:pPr>
        <w:pStyle w:val="BodyA"/>
        <w:jc w:val="center"/>
        <w:rPr>
          <w:b/>
          <w:bCs/>
          <w:lang w:val="en-GB"/>
        </w:rPr>
      </w:pPr>
      <w:r>
        <w:rPr>
          <w:b/>
          <w:bCs/>
          <w:lang w:val="en-GB"/>
        </w:rPr>
        <w:t>Joint Communique by Latvia, Lithuania, Poland and Ukraine</w:t>
      </w:r>
      <w:r w:rsidR="00D60292" w:rsidRPr="00644DEE">
        <w:rPr>
          <w:b/>
          <w:bCs/>
          <w:lang w:val="en-GB"/>
        </w:rPr>
        <w:t xml:space="preserve"> commemorating the decade since the Russian aggression against Georgia</w:t>
      </w:r>
    </w:p>
    <w:p w:rsidR="00DE3B09" w:rsidRDefault="00DE3B09">
      <w:pPr>
        <w:pStyle w:val="BodyA"/>
        <w:jc w:val="center"/>
        <w:rPr>
          <w:b/>
          <w:bCs/>
          <w:lang w:val="en-GB"/>
        </w:rPr>
      </w:pPr>
    </w:p>
    <w:p w:rsidR="00DE3B09" w:rsidRPr="00644DEE" w:rsidRDefault="00DE3B09">
      <w:pPr>
        <w:pStyle w:val="BodyA"/>
        <w:jc w:val="center"/>
        <w:rPr>
          <w:lang w:val="en-GB"/>
        </w:rPr>
      </w:pPr>
    </w:p>
    <w:p w:rsidR="0000459C" w:rsidRPr="00644DEE" w:rsidRDefault="0000459C">
      <w:pPr>
        <w:pStyle w:val="BodyA"/>
        <w:rPr>
          <w:lang w:val="en-GB"/>
        </w:rPr>
      </w:pPr>
    </w:p>
    <w:p w:rsidR="0000459C" w:rsidRPr="00C36123" w:rsidRDefault="00D60292">
      <w:pPr>
        <w:pStyle w:val="ListParagraph"/>
        <w:numPr>
          <w:ilvl w:val="0"/>
          <w:numId w:val="2"/>
        </w:numPr>
        <w:spacing w:after="120"/>
        <w:jc w:val="both"/>
        <w:rPr>
          <w:color w:val="auto"/>
          <w:lang w:val="en-GB"/>
        </w:rPr>
      </w:pPr>
      <w:r w:rsidRPr="00C36123">
        <w:rPr>
          <w:color w:val="auto"/>
          <w:lang w:val="en-GB"/>
        </w:rPr>
        <w:t xml:space="preserve">We, the </w:t>
      </w:r>
      <w:r w:rsidR="0014325E">
        <w:rPr>
          <w:color w:val="auto"/>
          <w:lang w:val="en-GB"/>
        </w:rPr>
        <w:t>representatives</w:t>
      </w:r>
      <w:r w:rsidRPr="00C36123">
        <w:rPr>
          <w:color w:val="auto"/>
          <w:lang w:val="en-GB"/>
        </w:rPr>
        <w:t xml:space="preserve"> of </w:t>
      </w:r>
      <w:r w:rsidR="0014325E">
        <w:rPr>
          <w:color w:val="auto"/>
          <w:lang w:val="en-GB"/>
        </w:rPr>
        <w:t>Latvia, Lithuania,</w:t>
      </w:r>
      <w:r w:rsidRPr="00C36123">
        <w:rPr>
          <w:color w:val="auto"/>
          <w:lang w:val="en-GB"/>
        </w:rPr>
        <w:t xml:space="preserve"> Poland</w:t>
      </w:r>
      <w:r w:rsidR="0014325E">
        <w:rPr>
          <w:color w:val="auto"/>
          <w:lang w:val="en-GB"/>
        </w:rPr>
        <w:t xml:space="preserve"> and Ukraine</w:t>
      </w:r>
      <w:r w:rsidRPr="00C36123">
        <w:rPr>
          <w:color w:val="auto"/>
          <w:lang w:val="en-GB"/>
        </w:rPr>
        <w:t>, have come to Georgia to commemorate the 10</w:t>
      </w:r>
      <w:r w:rsidR="008308B7" w:rsidRPr="00C36123">
        <w:rPr>
          <w:color w:val="auto"/>
          <w:vertAlign w:val="superscript"/>
          <w:lang w:val="en-GB"/>
        </w:rPr>
        <w:t>th</w:t>
      </w:r>
      <w:r w:rsidR="008308B7" w:rsidRPr="00C36123">
        <w:rPr>
          <w:color w:val="auto"/>
          <w:lang w:val="en-GB"/>
        </w:rPr>
        <w:t xml:space="preserve"> anniversary of</w:t>
      </w:r>
      <w:r w:rsidR="00644DEE" w:rsidRPr="00C36123">
        <w:rPr>
          <w:color w:val="auto"/>
          <w:lang w:val="en-GB"/>
        </w:rPr>
        <w:t xml:space="preserve"> </w:t>
      </w:r>
      <w:r w:rsidR="00CE3C38" w:rsidRPr="00C36123">
        <w:rPr>
          <w:color w:val="auto"/>
          <w:lang w:val="en-GB"/>
        </w:rPr>
        <w:t>the</w:t>
      </w:r>
      <w:r w:rsidRPr="00C36123">
        <w:rPr>
          <w:color w:val="auto"/>
          <w:lang w:val="en-GB"/>
        </w:rPr>
        <w:t xml:space="preserve"> Russia</w:t>
      </w:r>
      <w:r w:rsidR="004736C4" w:rsidRPr="00C36123">
        <w:rPr>
          <w:color w:val="auto"/>
          <w:lang w:val="en-GB"/>
        </w:rPr>
        <w:t>n</w:t>
      </w:r>
      <w:r w:rsidRPr="00C36123">
        <w:rPr>
          <w:color w:val="auto"/>
          <w:lang w:val="en-GB"/>
        </w:rPr>
        <w:t xml:space="preserve"> mili</w:t>
      </w:r>
      <w:r w:rsidR="0014325E">
        <w:rPr>
          <w:color w:val="auto"/>
          <w:lang w:val="en-GB"/>
        </w:rPr>
        <w:t>tary aggression against Georgia</w:t>
      </w:r>
      <w:r w:rsidRPr="00C36123">
        <w:rPr>
          <w:color w:val="auto"/>
          <w:lang w:val="en-GB"/>
        </w:rPr>
        <w:t xml:space="preserve"> and  reaffirm our unwavering support for Georgia’s sovereignty, independence and territorial integrity within its internationally recognized borders.</w:t>
      </w:r>
    </w:p>
    <w:p w:rsidR="0000459C" w:rsidRPr="00C36123" w:rsidRDefault="00D60292">
      <w:pPr>
        <w:pStyle w:val="ListParagraph"/>
        <w:numPr>
          <w:ilvl w:val="0"/>
          <w:numId w:val="2"/>
        </w:numPr>
        <w:spacing w:after="120"/>
        <w:jc w:val="both"/>
        <w:rPr>
          <w:color w:val="auto"/>
          <w:lang w:val="en-GB"/>
        </w:rPr>
      </w:pPr>
      <w:r w:rsidRPr="00C36123">
        <w:rPr>
          <w:color w:val="auto"/>
          <w:lang w:val="en-GB"/>
        </w:rPr>
        <w:t>Ten years ago leaders of our countries trave</w:t>
      </w:r>
      <w:r w:rsidR="00644DEE" w:rsidRPr="00C36123">
        <w:rPr>
          <w:color w:val="auto"/>
          <w:lang w:val="en-GB"/>
        </w:rPr>
        <w:t>l</w:t>
      </w:r>
      <w:r w:rsidRPr="00C36123">
        <w:rPr>
          <w:color w:val="auto"/>
          <w:lang w:val="en-GB"/>
        </w:rPr>
        <w:t>led to Georgia</w:t>
      </w:r>
      <w:r w:rsidR="00DC42C1" w:rsidRPr="00C36123">
        <w:rPr>
          <w:color w:val="auto"/>
          <w:lang w:val="en-GB"/>
        </w:rPr>
        <w:t>, a European state whose sovereignty was bei</w:t>
      </w:r>
      <w:r w:rsidR="00B67C5A" w:rsidRPr="00C36123">
        <w:rPr>
          <w:color w:val="auto"/>
          <w:lang w:val="en-GB"/>
        </w:rPr>
        <w:t>ng brutally violated by Russia,</w:t>
      </w:r>
      <w:r w:rsidRPr="00C36123">
        <w:rPr>
          <w:color w:val="auto"/>
          <w:lang w:val="en-GB"/>
        </w:rPr>
        <w:t xml:space="preserve"> to stand together with its people.  </w:t>
      </w:r>
    </w:p>
    <w:p w:rsidR="0000459C" w:rsidRPr="00C36123" w:rsidRDefault="00D60292">
      <w:pPr>
        <w:pStyle w:val="ListParagraph"/>
        <w:numPr>
          <w:ilvl w:val="0"/>
          <w:numId w:val="2"/>
        </w:numPr>
        <w:spacing w:after="120"/>
        <w:jc w:val="both"/>
        <w:rPr>
          <w:color w:val="auto"/>
          <w:lang w:val="en-GB"/>
        </w:rPr>
      </w:pPr>
      <w:r w:rsidRPr="00C36123">
        <w:rPr>
          <w:color w:val="auto"/>
          <w:lang w:val="en-GB"/>
        </w:rPr>
        <w:t xml:space="preserve">Our commitment to the values of freedom, democracy and the rule of law as well as our respect for the rights of each individual and for every country’s sovereign choice is as firm as it was ten years ago. We reiterate that all </w:t>
      </w:r>
      <w:r w:rsidR="00B62C7D" w:rsidRPr="00C36123">
        <w:rPr>
          <w:color w:val="auto"/>
          <w:lang w:val="en-GB"/>
        </w:rPr>
        <w:t>s</w:t>
      </w:r>
      <w:r w:rsidRPr="00C36123">
        <w:rPr>
          <w:color w:val="auto"/>
          <w:lang w:val="en-GB"/>
        </w:rPr>
        <w:t xml:space="preserve">tates, including Georgia, have the right to freely determine their foreign policy and their alliances. The times of limited sovereignty are over in Europe, but  consistency and firmness </w:t>
      </w:r>
      <w:r w:rsidR="008308B7" w:rsidRPr="00C36123">
        <w:rPr>
          <w:color w:val="auto"/>
          <w:lang w:val="en-GB"/>
        </w:rPr>
        <w:t xml:space="preserve">are required </w:t>
      </w:r>
      <w:r w:rsidRPr="00C36123">
        <w:rPr>
          <w:color w:val="auto"/>
          <w:lang w:val="en-GB"/>
        </w:rPr>
        <w:t>to protect these values and principles from those who challenge them</w:t>
      </w:r>
      <w:r w:rsidR="008308B7" w:rsidRPr="00C36123">
        <w:rPr>
          <w:color w:val="auto"/>
          <w:lang w:val="en-GB"/>
        </w:rPr>
        <w:t>,</w:t>
      </w:r>
      <w:r w:rsidRPr="00C36123">
        <w:rPr>
          <w:color w:val="auto"/>
          <w:lang w:val="en-GB"/>
        </w:rPr>
        <w:t xml:space="preserve"> sparing no effort to bring the notion of the ‘spheres of influence’ back. </w:t>
      </w:r>
    </w:p>
    <w:p w:rsidR="0000459C" w:rsidRPr="00C36123" w:rsidRDefault="00D60292">
      <w:pPr>
        <w:pStyle w:val="ListParagraph"/>
        <w:numPr>
          <w:ilvl w:val="0"/>
          <w:numId w:val="2"/>
        </w:numPr>
        <w:spacing w:after="120"/>
        <w:jc w:val="both"/>
        <w:rPr>
          <w:color w:val="auto"/>
          <w:lang w:val="en-GB"/>
        </w:rPr>
      </w:pPr>
      <w:r w:rsidRPr="00C36123">
        <w:rPr>
          <w:color w:val="auto"/>
          <w:lang w:val="en-GB"/>
        </w:rPr>
        <w:t>Revisionist powers are not easy to satisfy, and even more difficult to rely on. Ten years ago, on their journey to Georgia</w:t>
      </w:r>
      <w:r w:rsidR="008308B7" w:rsidRPr="00C36123">
        <w:rPr>
          <w:color w:val="auto"/>
          <w:lang w:val="en-GB"/>
        </w:rPr>
        <w:t>,</w:t>
      </w:r>
      <w:r w:rsidRPr="00C36123">
        <w:rPr>
          <w:color w:val="auto"/>
          <w:lang w:val="en-GB"/>
        </w:rPr>
        <w:t xml:space="preserve"> our leaders had stopped in Crimea, Ukraine. Today the repetition of this route was not possible because of the illegal annexation of the Autonomous Republic of Crimea </w:t>
      </w:r>
      <w:r w:rsidR="003F3691" w:rsidRPr="00C36123">
        <w:rPr>
          <w:color w:val="auto"/>
          <w:lang w:val="en-GB"/>
        </w:rPr>
        <w:t>and</w:t>
      </w:r>
      <w:r w:rsidRPr="00C36123">
        <w:rPr>
          <w:color w:val="auto"/>
          <w:lang w:val="en-GB"/>
        </w:rPr>
        <w:t xml:space="preserve"> the city of Sevastopol by Russia.</w:t>
      </w:r>
    </w:p>
    <w:p w:rsidR="0000459C" w:rsidRPr="00C36123" w:rsidRDefault="00D60292">
      <w:pPr>
        <w:pStyle w:val="ListParagraph"/>
        <w:numPr>
          <w:ilvl w:val="0"/>
          <w:numId w:val="2"/>
        </w:numPr>
        <w:spacing w:after="120"/>
        <w:jc w:val="both"/>
        <w:rPr>
          <w:color w:val="auto"/>
          <w:lang w:val="en-GB"/>
        </w:rPr>
      </w:pPr>
      <w:r w:rsidRPr="00C36123">
        <w:rPr>
          <w:color w:val="auto"/>
          <w:lang w:val="en-GB"/>
        </w:rPr>
        <w:t xml:space="preserve">Ten years after the </w:t>
      </w:r>
      <w:r w:rsidR="007C6BCF" w:rsidRPr="00C36123">
        <w:rPr>
          <w:color w:val="auto"/>
          <w:lang w:val="en-GB"/>
        </w:rPr>
        <w:t>Russian military aggre</w:t>
      </w:r>
      <w:r w:rsidR="00644DEE" w:rsidRPr="00C36123">
        <w:rPr>
          <w:color w:val="auto"/>
          <w:lang w:val="en-GB"/>
        </w:rPr>
        <w:t>s</w:t>
      </w:r>
      <w:r w:rsidR="007C6BCF" w:rsidRPr="00C36123">
        <w:rPr>
          <w:color w:val="auto"/>
          <w:lang w:val="en-GB"/>
        </w:rPr>
        <w:t>sion against Georgia</w:t>
      </w:r>
      <w:r w:rsidRPr="00C36123">
        <w:rPr>
          <w:color w:val="auto"/>
          <w:lang w:val="en-GB"/>
        </w:rPr>
        <w:t xml:space="preserve">, Russia still </w:t>
      </w:r>
      <w:r w:rsidR="002E2F4D" w:rsidRPr="00C36123">
        <w:rPr>
          <w:color w:val="auto"/>
          <w:lang w:val="en-GB"/>
        </w:rPr>
        <w:t xml:space="preserve">has </w:t>
      </w:r>
      <w:r w:rsidRPr="00C36123">
        <w:rPr>
          <w:color w:val="auto"/>
          <w:lang w:val="en-GB"/>
        </w:rPr>
        <w:t xml:space="preserve">not implemented its commitments </w:t>
      </w:r>
      <w:r w:rsidR="002E2F4D" w:rsidRPr="00C36123">
        <w:rPr>
          <w:color w:val="auto"/>
          <w:lang w:val="en-GB"/>
        </w:rPr>
        <w:t xml:space="preserve">towards Georgia, </w:t>
      </w:r>
      <w:r w:rsidR="00495A22" w:rsidRPr="00C36123">
        <w:rPr>
          <w:color w:val="auto"/>
          <w:lang w:val="en-GB"/>
        </w:rPr>
        <w:t xml:space="preserve">as </w:t>
      </w:r>
      <w:r w:rsidR="008308B7" w:rsidRPr="00C36123">
        <w:rPr>
          <w:color w:val="auto"/>
          <w:lang w:val="en-GB"/>
        </w:rPr>
        <w:t xml:space="preserve">agreed </w:t>
      </w:r>
      <w:r w:rsidRPr="00C36123">
        <w:rPr>
          <w:color w:val="auto"/>
          <w:lang w:val="en-GB"/>
        </w:rPr>
        <w:t xml:space="preserve">under the 12 August 2008 Ceasefire Agreement. Consequently, Georgian regions of Abkhazia and Tskhinvali/South Ossetia are still </w:t>
      </w:r>
      <w:r w:rsidRPr="00C36123">
        <w:rPr>
          <w:i/>
          <w:iCs/>
          <w:color w:val="auto"/>
          <w:lang w:val="en-GB"/>
        </w:rPr>
        <w:t>de facto</w:t>
      </w:r>
      <w:r w:rsidRPr="00C36123">
        <w:rPr>
          <w:color w:val="auto"/>
          <w:lang w:val="en-GB"/>
        </w:rPr>
        <w:t xml:space="preserve"> occupied by Russia and the creeping annexation of these regions continues. Fences, signifying the </w:t>
      </w:r>
      <w:r w:rsidR="0074295E" w:rsidRPr="00C36123">
        <w:rPr>
          <w:color w:val="auto"/>
          <w:lang w:val="en-GB"/>
        </w:rPr>
        <w:t>so</w:t>
      </w:r>
      <w:r w:rsidR="00DE3B09">
        <w:rPr>
          <w:color w:val="auto"/>
          <w:lang w:val="en-GB"/>
        </w:rPr>
        <w:t>-</w:t>
      </w:r>
      <w:r w:rsidR="0074295E" w:rsidRPr="00C36123">
        <w:rPr>
          <w:color w:val="auto"/>
          <w:lang w:val="en-GB"/>
        </w:rPr>
        <w:t>called ‘</w:t>
      </w:r>
      <w:r w:rsidR="00F83B85" w:rsidRPr="00C36123">
        <w:rPr>
          <w:color w:val="auto"/>
          <w:lang w:val="en-GB"/>
        </w:rPr>
        <w:t>bo</w:t>
      </w:r>
      <w:r w:rsidR="0074295E" w:rsidRPr="00C36123">
        <w:rPr>
          <w:color w:val="auto"/>
          <w:lang w:val="en-GB"/>
        </w:rPr>
        <w:t>rder’</w:t>
      </w:r>
      <w:r w:rsidRPr="00C36123">
        <w:rPr>
          <w:color w:val="auto"/>
          <w:lang w:val="en-GB"/>
        </w:rPr>
        <w:t>, are being erected</w:t>
      </w:r>
      <w:r w:rsidR="008308B7" w:rsidRPr="00C36123">
        <w:rPr>
          <w:color w:val="auto"/>
          <w:lang w:val="en-GB"/>
        </w:rPr>
        <w:t>,</w:t>
      </w:r>
      <w:r w:rsidRPr="00C36123">
        <w:rPr>
          <w:color w:val="auto"/>
          <w:lang w:val="en-GB"/>
        </w:rPr>
        <w:t xml:space="preserve"> and the movement of Georgian people within their country is being impeded. Quasi ‘agreements’ are b</w:t>
      </w:r>
      <w:r w:rsidR="0074295E" w:rsidRPr="00C36123">
        <w:rPr>
          <w:color w:val="auto"/>
          <w:lang w:val="en-GB"/>
        </w:rPr>
        <w:t>eing drafted and signed between</w:t>
      </w:r>
      <w:r w:rsidRPr="00C36123">
        <w:rPr>
          <w:color w:val="auto"/>
          <w:lang w:val="en-GB"/>
        </w:rPr>
        <w:t xml:space="preserve"> Russia and the occupied Georgian regions, aimed at further integrating them into Russia’s economic, social, and military life. Artificial ‘recognitions’ of their ‘independence’ and the ‘establishment of diplomatic relations’ between them and Kremlin’s proxies are </w:t>
      </w:r>
      <w:r w:rsidR="00DC42C1" w:rsidRPr="00C36123">
        <w:rPr>
          <w:color w:val="auto"/>
          <w:lang w:val="en-GB"/>
        </w:rPr>
        <w:t xml:space="preserve">still </w:t>
      </w:r>
      <w:r w:rsidRPr="00C36123">
        <w:rPr>
          <w:color w:val="auto"/>
          <w:lang w:val="en-GB"/>
        </w:rPr>
        <w:t>being orc</w:t>
      </w:r>
      <w:r w:rsidR="002F25DB" w:rsidRPr="00C36123">
        <w:rPr>
          <w:color w:val="auto"/>
          <w:lang w:val="en-GB"/>
        </w:rPr>
        <w:t>hestrated by Russia. We deplore</w:t>
      </w:r>
      <w:r w:rsidRPr="00C36123">
        <w:rPr>
          <w:color w:val="auto"/>
          <w:lang w:val="en-GB"/>
        </w:rPr>
        <w:t xml:space="preserve"> these efforts and will never recognize their consequences. The human rights situation in </w:t>
      </w:r>
      <w:r w:rsidR="0024217C" w:rsidRPr="00C36123">
        <w:rPr>
          <w:color w:val="auto"/>
          <w:lang w:val="en-GB"/>
        </w:rPr>
        <w:t xml:space="preserve">these </w:t>
      </w:r>
      <w:r w:rsidRPr="00C36123">
        <w:rPr>
          <w:color w:val="auto"/>
          <w:lang w:val="en-GB"/>
        </w:rPr>
        <w:t>regions continues to deteriorate</w:t>
      </w:r>
      <w:r w:rsidR="004804C2" w:rsidRPr="00C36123">
        <w:rPr>
          <w:color w:val="auto"/>
          <w:lang w:val="en-GB"/>
        </w:rPr>
        <w:t>;</w:t>
      </w:r>
      <w:r w:rsidR="003E2D47" w:rsidRPr="00C36123">
        <w:rPr>
          <w:color w:val="auto"/>
          <w:lang w:val="en-GB"/>
        </w:rPr>
        <w:t xml:space="preserve"> </w:t>
      </w:r>
      <w:r w:rsidR="003E2D47" w:rsidRPr="00C36123">
        <w:rPr>
          <w:color w:val="auto"/>
          <w:lang w:val="en-US"/>
        </w:rPr>
        <w:t>ethnic</w:t>
      </w:r>
      <w:r w:rsidR="004804C2" w:rsidRPr="00C36123">
        <w:rPr>
          <w:color w:val="auto"/>
          <w:lang w:val="en-US"/>
        </w:rPr>
        <w:t xml:space="preserve"> Georgians are being discriminated and their cultural heritage traces are being erased.</w:t>
      </w:r>
    </w:p>
    <w:p w:rsidR="0000459C" w:rsidRPr="00C36123" w:rsidRDefault="008308B7">
      <w:pPr>
        <w:pStyle w:val="ListParagraph"/>
        <w:numPr>
          <w:ilvl w:val="0"/>
          <w:numId w:val="2"/>
        </w:numPr>
        <w:spacing w:after="120"/>
        <w:jc w:val="both"/>
        <w:rPr>
          <w:color w:val="auto"/>
          <w:lang w:val="en-GB"/>
        </w:rPr>
      </w:pPr>
      <w:r w:rsidRPr="00C36123">
        <w:rPr>
          <w:color w:val="auto"/>
          <w:lang w:val="en-GB"/>
        </w:rPr>
        <w:t>T</w:t>
      </w:r>
      <w:r w:rsidR="00D60292" w:rsidRPr="00C36123">
        <w:rPr>
          <w:color w:val="auto"/>
          <w:lang w:val="en-GB"/>
        </w:rPr>
        <w:t xml:space="preserve">herefore </w:t>
      </w:r>
      <w:r w:rsidRPr="00C36123">
        <w:rPr>
          <w:color w:val="auto"/>
          <w:lang w:val="en-GB"/>
        </w:rPr>
        <w:t xml:space="preserve">we </w:t>
      </w:r>
      <w:r w:rsidR="00D60292" w:rsidRPr="00C36123">
        <w:rPr>
          <w:color w:val="auto"/>
          <w:lang w:val="en-GB"/>
        </w:rPr>
        <w:t>continue to call on Russia to reverse its illegal recognition of the so-called independence of Georgia’s Abkhazia and Tskhinvali/South Ossetia regions, to fully implement the 12 August 2008 Ceasefire Agreement,</w:t>
      </w:r>
      <w:r w:rsidR="004804C2" w:rsidRPr="00C36123">
        <w:rPr>
          <w:color w:val="auto"/>
          <w:lang w:val="en-US"/>
        </w:rPr>
        <w:t xml:space="preserve"> to engage in a constructive manner into the process of Geneva International Discussions (GID), and </w:t>
      </w:r>
      <w:r w:rsidR="00D60292" w:rsidRPr="00C36123">
        <w:rPr>
          <w:color w:val="auto"/>
          <w:lang w:val="en-GB"/>
        </w:rPr>
        <w:t xml:space="preserve">to enable access by the European Union Monitoring Mission and the international human rights monitoring mechanisms to the occupied territories of Georgia. </w:t>
      </w:r>
    </w:p>
    <w:p w:rsidR="0000459C" w:rsidRPr="00C36123" w:rsidRDefault="00D60292">
      <w:pPr>
        <w:pStyle w:val="ListParagraph"/>
        <w:numPr>
          <w:ilvl w:val="0"/>
          <w:numId w:val="2"/>
        </w:numPr>
        <w:spacing w:after="120"/>
        <w:jc w:val="both"/>
        <w:rPr>
          <w:color w:val="auto"/>
          <w:lang w:val="en-GB"/>
        </w:rPr>
      </w:pPr>
      <w:r w:rsidRPr="00C36123">
        <w:rPr>
          <w:color w:val="auto"/>
          <w:lang w:val="en-GB"/>
        </w:rPr>
        <w:t xml:space="preserve">We welcome </w:t>
      </w:r>
      <w:r w:rsidR="008308B7" w:rsidRPr="00C36123">
        <w:rPr>
          <w:color w:val="auto"/>
          <w:lang w:val="en-GB"/>
        </w:rPr>
        <w:t xml:space="preserve">the fact </w:t>
      </w:r>
      <w:r w:rsidRPr="00C36123">
        <w:rPr>
          <w:color w:val="auto"/>
          <w:lang w:val="en-GB"/>
        </w:rPr>
        <w:t xml:space="preserve">that Georgian people continue to demonstrate strong faith and trust in the European and Euro-Atlantic structures. We reaffirm our strong support for Georgia’s sovereign choice to pursue the ultimate goal of membership in the EU and NATO. Even with </w:t>
      </w:r>
      <w:r w:rsidR="008308B7" w:rsidRPr="00C36123">
        <w:rPr>
          <w:color w:val="auto"/>
          <w:lang w:val="en-GB"/>
        </w:rPr>
        <w:t xml:space="preserve">the occupation of </w:t>
      </w:r>
      <w:r w:rsidRPr="00C36123">
        <w:rPr>
          <w:color w:val="auto"/>
          <w:lang w:val="en-GB"/>
        </w:rPr>
        <w:t>20 percent of its territory</w:t>
      </w:r>
      <w:r w:rsidR="008308B7" w:rsidRPr="00C36123">
        <w:rPr>
          <w:color w:val="auto"/>
          <w:lang w:val="en-GB"/>
        </w:rPr>
        <w:t>,</w:t>
      </w:r>
      <w:r w:rsidR="00546376" w:rsidRPr="00C36123">
        <w:rPr>
          <w:color w:val="auto"/>
          <w:lang w:val="en-GB"/>
        </w:rPr>
        <w:t xml:space="preserve"> </w:t>
      </w:r>
      <w:r w:rsidRPr="00C36123">
        <w:rPr>
          <w:color w:val="auto"/>
          <w:lang w:val="en-GB"/>
        </w:rPr>
        <w:t xml:space="preserve">Georgia has made </w:t>
      </w:r>
      <w:r w:rsidR="001B1BD0" w:rsidRPr="00C36123">
        <w:rPr>
          <w:color w:val="auto"/>
          <w:lang w:val="en-GB"/>
        </w:rPr>
        <w:t xml:space="preserve">very </w:t>
      </w:r>
      <w:r w:rsidRPr="00C36123">
        <w:rPr>
          <w:color w:val="auto"/>
          <w:lang w:val="en-GB"/>
        </w:rPr>
        <w:t xml:space="preserve">significant progress in implementing reforms and has become </w:t>
      </w:r>
      <w:r w:rsidR="003114C7" w:rsidRPr="00C36123">
        <w:rPr>
          <w:color w:val="auto"/>
          <w:lang w:val="en-GB"/>
        </w:rPr>
        <w:t xml:space="preserve">a </w:t>
      </w:r>
      <w:r w:rsidRPr="00C36123">
        <w:rPr>
          <w:color w:val="auto"/>
          <w:lang w:val="en-GB"/>
        </w:rPr>
        <w:t xml:space="preserve">reliable and exemplary partner of both the EU and NATO. </w:t>
      </w:r>
    </w:p>
    <w:p w:rsidR="0000459C" w:rsidRPr="00C36123" w:rsidRDefault="003E2D47">
      <w:pPr>
        <w:pStyle w:val="ListParagraph"/>
        <w:numPr>
          <w:ilvl w:val="0"/>
          <w:numId w:val="2"/>
        </w:numPr>
        <w:spacing w:after="120"/>
        <w:jc w:val="both"/>
        <w:rPr>
          <w:color w:val="auto"/>
          <w:lang w:val="en-GB"/>
        </w:rPr>
      </w:pPr>
      <w:r w:rsidRPr="00C36123">
        <w:rPr>
          <w:color w:val="auto"/>
          <w:lang w:val="en-US"/>
        </w:rPr>
        <w:t>In 2008 NATO</w:t>
      </w:r>
      <w:r w:rsidR="00DE3B09">
        <w:rPr>
          <w:color w:val="auto"/>
          <w:lang w:val="en-US"/>
        </w:rPr>
        <w:t>-</w:t>
      </w:r>
      <w:r w:rsidRPr="00C36123">
        <w:rPr>
          <w:color w:val="auto"/>
          <w:lang w:val="en-US"/>
        </w:rPr>
        <w:t>Georgia Commission was established. Since then the mutually beneficial cooperation has reached an unprecedented level</w:t>
      </w:r>
      <w:r w:rsidR="00F276EA" w:rsidRPr="00C36123">
        <w:rPr>
          <w:color w:val="auto"/>
          <w:lang w:val="en-US"/>
        </w:rPr>
        <w:t>.</w:t>
      </w:r>
      <w:r w:rsidRPr="00C36123">
        <w:rPr>
          <w:color w:val="auto"/>
          <w:lang w:val="en-GB"/>
        </w:rPr>
        <w:t xml:space="preserve"> </w:t>
      </w:r>
      <w:r w:rsidR="00D60292" w:rsidRPr="00C36123">
        <w:rPr>
          <w:color w:val="auto"/>
          <w:lang w:val="en-GB"/>
        </w:rPr>
        <w:t xml:space="preserve">We </w:t>
      </w:r>
      <w:r w:rsidR="008D68BA" w:rsidRPr="00C36123">
        <w:rPr>
          <w:color w:val="auto"/>
          <w:lang w:val="en-GB"/>
        </w:rPr>
        <w:t>welcome</w:t>
      </w:r>
      <w:r w:rsidR="00D60292" w:rsidRPr="00C36123">
        <w:rPr>
          <w:color w:val="auto"/>
          <w:lang w:val="en-GB"/>
        </w:rPr>
        <w:t xml:space="preserve"> Georgia’s contributions to the Alliance’s training mission in Afghanistan and the NATO Response Force. We </w:t>
      </w:r>
      <w:r w:rsidR="00B62C7D" w:rsidRPr="00C36123">
        <w:rPr>
          <w:color w:val="auto"/>
          <w:lang w:val="en-GB"/>
        </w:rPr>
        <w:t>acknowledge</w:t>
      </w:r>
      <w:r w:rsidR="00D60292" w:rsidRPr="00C36123">
        <w:rPr>
          <w:color w:val="auto"/>
          <w:lang w:val="en-GB"/>
        </w:rPr>
        <w:t xml:space="preserve"> that the Substantial NATO-Georgia Package is bolstering Georgia’s </w:t>
      </w:r>
      <w:r w:rsidR="00DE3B09" w:rsidRPr="00C36123">
        <w:rPr>
          <w:color w:val="auto"/>
          <w:lang w:val="en-GB"/>
        </w:rPr>
        <w:t>defence</w:t>
      </w:r>
      <w:r w:rsidR="00D60292" w:rsidRPr="00C36123">
        <w:rPr>
          <w:color w:val="auto"/>
          <w:lang w:val="en-GB"/>
        </w:rPr>
        <w:t xml:space="preserve"> reforms, including with the NATO-Georgia Joint Training </w:t>
      </w:r>
      <w:r w:rsidR="004804C2" w:rsidRPr="00C36123">
        <w:rPr>
          <w:color w:val="auto"/>
          <w:lang w:val="en-US"/>
        </w:rPr>
        <w:t xml:space="preserve">and Evaluation </w:t>
      </w:r>
      <w:r w:rsidR="00D60292" w:rsidRPr="00C36123">
        <w:rPr>
          <w:color w:val="auto"/>
          <w:lang w:val="en-GB"/>
        </w:rPr>
        <w:t>Centre.</w:t>
      </w:r>
    </w:p>
    <w:p w:rsidR="0000459C" w:rsidRPr="00C36123" w:rsidRDefault="00D60292">
      <w:pPr>
        <w:pStyle w:val="ListParagraph"/>
        <w:numPr>
          <w:ilvl w:val="0"/>
          <w:numId w:val="2"/>
        </w:numPr>
        <w:spacing w:after="120"/>
        <w:jc w:val="both"/>
        <w:rPr>
          <w:color w:val="auto"/>
          <w:lang w:val="en-GB"/>
        </w:rPr>
      </w:pPr>
      <w:r w:rsidRPr="00C36123">
        <w:rPr>
          <w:color w:val="auto"/>
          <w:lang w:val="en-GB"/>
        </w:rPr>
        <w:t>We reaffirm that NATO remains the cornerstone of ou</w:t>
      </w:r>
      <w:r w:rsidR="00644DEE" w:rsidRPr="00C36123">
        <w:rPr>
          <w:color w:val="auto"/>
          <w:lang w:val="en-GB"/>
        </w:rPr>
        <w:t>r security and collective defenc</w:t>
      </w:r>
      <w:r w:rsidRPr="00C36123">
        <w:rPr>
          <w:color w:val="auto"/>
          <w:lang w:val="en-GB"/>
        </w:rPr>
        <w:t xml:space="preserve">e, and that our countries stand firm in solidarity, committed to develop our cooperation to address </w:t>
      </w:r>
      <w:r w:rsidR="005F6D7D" w:rsidRPr="00C36123">
        <w:rPr>
          <w:color w:val="auto"/>
          <w:lang w:val="en-GB"/>
        </w:rPr>
        <w:t xml:space="preserve">better </w:t>
      </w:r>
      <w:r w:rsidRPr="00C36123">
        <w:rPr>
          <w:color w:val="auto"/>
          <w:lang w:val="en-GB"/>
        </w:rPr>
        <w:t xml:space="preserve">all security concerns and contribute to the Alliance's tasks. In this context, we welcome the NATO Brussels Summit </w:t>
      </w:r>
      <w:r w:rsidR="005F6D7D" w:rsidRPr="00C36123">
        <w:rPr>
          <w:color w:val="auto"/>
          <w:lang w:val="en-GB"/>
        </w:rPr>
        <w:t>D</w:t>
      </w:r>
      <w:r w:rsidRPr="00C36123">
        <w:rPr>
          <w:color w:val="auto"/>
          <w:lang w:val="en-GB"/>
        </w:rPr>
        <w:t>eclaration (11 July</w:t>
      </w:r>
      <w:r w:rsidR="005F6D7D" w:rsidRPr="00C36123">
        <w:rPr>
          <w:color w:val="auto"/>
          <w:lang w:val="en-GB"/>
        </w:rPr>
        <w:t xml:space="preserve"> 2018</w:t>
      </w:r>
      <w:r w:rsidRPr="00C36123">
        <w:rPr>
          <w:color w:val="auto"/>
          <w:lang w:val="en-GB"/>
        </w:rPr>
        <w:t xml:space="preserve">), by which all 29 Allies reconfirmed that Georgia </w:t>
      </w:r>
      <w:r w:rsidR="003F3691" w:rsidRPr="00C36123">
        <w:rPr>
          <w:color w:val="auto"/>
          <w:lang w:val="en-GB"/>
        </w:rPr>
        <w:t xml:space="preserve">will </w:t>
      </w:r>
      <w:r w:rsidRPr="00C36123">
        <w:rPr>
          <w:color w:val="auto"/>
          <w:lang w:val="en-GB"/>
        </w:rPr>
        <w:t>become a member of NATO.</w:t>
      </w:r>
    </w:p>
    <w:p w:rsidR="0000459C" w:rsidRPr="00C36123" w:rsidRDefault="00D60292">
      <w:pPr>
        <w:pStyle w:val="ListParagraph"/>
        <w:numPr>
          <w:ilvl w:val="0"/>
          <w:numId w:val="2"/>
        </w:numPr>
        <w:spacing w:after="120"/>
        <w:jc w:val="both"/>
        <w:rPr>
          <w:color w:val="auto"/>
          <w:lang w:val="en-GB"/>
        </w:rPr>
      </w:pPr>
      <w:r w:rsidRPr="00C36123">
        <w:rPr>
          <w:color w:val="auto"/>
          <w:lang w:val="en-GB"/>
        </w:rPr>
        <w:t>We acknowledge with satisfaction that the euro-integration related reforms have consolidated Georgia’s position of a strategic partner of the EU in the region, and of a front-runner within the Eastern Partnership</w:t>
      </w:r>
      <w:r w:rsidR="005F6D7D" w:rsidRPr="00C36123">
        <w:rPr>
          <w:color w:val="auto"/>
          <w:lang w:val="en-GB"/>
        </w:rPr>
        <w:t xml:space="preserve">, </w:t>
      </w:r>
      <w:r w:rsidR="00CE3C38" w:rsidRPr="00C36123">
        <w:rPr>
          <w:color w:val="auto"/>
          <w:lang w:val="en-GB"/>
        </w:rPr>
        <w:t xml:space="preserve">among countries </w:t>
      </w:r>
      <w:r w:rsidR="005F6D7D" w:rsidRPr="00C36123">
        <w:rPr>
          <w:color w:val="auto"/>
          <w:lang w:val="en-GB"/>
        </w:rPr>
        <w:t xml:space="preserve">who </w:t>
      </w:r>
      <w:r w:rsidR="00B62C7D" w:rsidRPr="00C36123">
        <w:rPr>
          <w:color w:val="auto"/>
          <w:lang w:val="en-GB"/>
        </w:rPr>
        <w:t xml:space="preserve">have </w:t>
      </w:r>
      <w:r w:rsidR="00D34814" w:rsidRPr="00C36123">
        <w:rPr>
          <w:color w:val="auto"/>
          <w:lang w:val="en-GB"/>
        </w:rPr>
        <w:t>concluded</w:t>
      </w:r>
      <w:r w:rsidR="005F6D7D" w:rsidRPr="00C36123">
        <w:rPr>
          <w:color w:val="auto"/>
          <w:lang w:val="en-GB"/>
        </w:rPr>
        <w:t xml:space="preserve"> </w:t>
      </w:r>
      <w:r w:rsidR="00746C23" w:rsidRPr="00C36123">
        <w:rPr>
          <w:color w:val="auto"/>
          <w:lang w:val="en-GB"/>
        </w:rPr>
        <w:t xml:space="preserve">the </w:t>
      </w:r>
      <w:r w:rsidR="008F61D9" w:rsidRPr="00C36123">
        <w:rPr>
          <w:color w:val="auto"/>
          <w:lang w:val="en-GB"/>
        </w:rPr>
        <w:t>Association Agreement, including the Deep and Comprehensive Free Trade Area,</w:t>
      </w:r>
      <w:r w:rsidR="005F6D7D" w:rsidRPr="00C36123">
        <w:rPr>
          <w:color w:val="auto"/>
          <w:lang w:val="en-GB"/>
        </w:rPr>
        <w:t xml:space="preserve"> and </w:t>
      </w:r>
      <w:r w:rsidR="00CE3C38" w:rsidRPr="00C36123">
        <w:rPr>
          <w:color w:val="auto"/>
          <w:lang w:val="en-GB"/>
        </w:rPr>
        <w:t xml:space="preserve">enjoy </w:t>
      </w:r>
      <w:r w:rsidR="005F6D7D" w:rsidRPr="00C36123">
        <w:rPr>
          <w:color w:val="auto"/>
          <w:lang w:val="en-GB"/>
        </w:rPr>
        <w:t xml:space="preserve">visa </w:t>
      </w:r>
      <w:r w:rsidR="00CE3C38" w:rsidRPr="00C36123">
        <w:rPr>
          <w:color w:val="auto"/>
          <w:lang w:val="en-GB"/>
        </w:rPr>
        <w:t>liberalization regime</w:t>
      </w:r>
      <w:r w:rsidR="00746C23" w:rsidRPr="00C36123">
        <w:rPr>
          <w:color w:val="auto"/>
          <w:lang w:val="en-GB"/>
        </w:rPr>
        <w:t>. The euro</w:t>
      </w:r>
      <w:r w:rsidR="00DE3B09">
        <w:rPr>
          <w:color w:val="auto"/>
          <w:lang w:val="en-GB"/>
        </w:rPr>
        <w:t>-</w:t>
      </w:r>
      <w:r w:rsidR="00746C23" w:rsidRPr="00C36123">
        <w:rPr>
          <w:color w:val="auto"/>
          <w:lang w:val="en-GB"/>
        </w:rPr>
        <w:t xml:space="preserve"> integration</w:t>
      </w:r>
      <w:r w:rsidR="008F61D9" w:rsidRPr="00C36123">
        <w:rPr>
          <w:color w:val="auto"/>
          <w:lang w:val="en-GB"/>
        </w:rPr>
        <w:t xml:space="preserve"> </w:t>
      </w:r>
      <w:r w:rsidR="00F276EA" w:rsidRPr="00C36123">
        <w:rPr>
          <w:color w:val="auto"/>
          <w:lang w:val="en-GB"/>
        </w:rPr>
        <w:t>process continues to</w:t>
      </w:r>
      <w:r w:rsidR="00637045" w:rsidRPr="00C36123">
        <w:rPr>
          <w:color w:val="auto"/>
          <w:lang w:val="en-GB"/>
        </w:rPr>
        <w:t xml:space="preserve"> </w:t>
      </w:r>
      <w:r w:rsidR="00F276EA" w:rsidRPr="00C36123">
        <w:rPr>
          <w:color w:val="auto"/>
          <w:lang w:val="en-GB"/>
        </w:rPr>
        <w:t xml:space="preserve">strengthen </w:t>
      </w:r>
      <w:r w:rsidR="008F61D9" w:rsidRPr="00C36123">
        <w:rPr>
          <w:color w:val="auto"/>
          <w:lang w:val="en-GB"/>
        </w:rPr>
        <w:t xml:space="preserve">Georgian democratic institutions, economy and </w:t>
      </w:r>
      <w:r w:rsidR="00D34814" w:rsidRPr="00C36123">
        <w:rPr>
          <w:color w:val="auto"/>
          <w:lang w:val="en-GB"/>
        </w:rPr>
        <w:t>civil society</w:t>
      </w:r>
      <w:r w:rsidRPr="00C36123">
        <w:rPr>
          <w:color w:val="auto"/>
          <w:lang w:val="en-GB"/>
        </w:rPr>
        <w:t xml:space="preserve">. We reaffirm our continued commitment to Georgia's political association and economic integration with the EU. </w:t>
      </w:r>
      <w:r w:rsidR="008F61D9" w:rsidRPr="00C36123">
        <w:rPr>
          <w:color w:val="auto"/>
          <w:lang w:val="en-GB"/>
        </w:rPr>
        <w:t>W</w:t>
      </w:r>
      <w:r w:rsidRPr="00C36123">
        <w:rPr>
          <w:color w:val="auto"/>
          <w:lang w:val="en-GB"/>
        </w:rPr>
        <w:t xml:space="preserve">e reiterate our readiness for close cooperation with the Georgian </w:t>
      </w:r>
      <w:r w:rsidR="00E77850" w:rsidRPr="00C36123">
        <w:rPr>
          <w:color w:val="auto"/>
          <w:lang w:val="en-GB"/>
        </w:rPr>
        <w:t>G</w:t>
      </w:r>
      <w:r w:rsidRPr="00C36123">
        <w:rPr>
          <w:color w:val="auto"/>
          <w:lang w:val="en-GB"/>
        </w:rPr>
        <w:t>overnment in order to further advance the EU-Georgia bilateral agenda</w:t>
      </w:r>
      <w:r w:rsidR="00644ACE" w:rsidRPr="00C36123">
        <w:rPr>
          <w:color w:val="auto"/>
          <w:lang w:val="en-GB"/>
        </w:rPr>
        <w:t xml:space="preserve"> </w:t>
      </w:r>
      <w:r w:rsidRPr="00C36123">
        <w:rPr>
          <w:color w:val="auto"/>
          <w:lang w:val="en-GB"/>
        </w:rPr>
        <w:t>and objectives.</w:t>
      </w:r>
    </w:p>
    <w:p w:rsidR="00820F6A" w:rsidRPr="00C36123" w:rsidRDefault="00D60292" w:rsidP="00820F6A">
      <w:pPr>
        <w:pStyle w:val="ListParagraph"/>
        <w:numPr>
          <w:ilvl w:val="0"/>
          <w:numId w:val="2"/>
        </w:numPr>
        <w:spacing w:after="120"/>
        <w:jc w:val="both"/>
        <w:rPr>
          <w:color w:val="auto"/>
          <w:lang w:val="en-GB"/>
        </w:rPr>
      </w:pPr>
      <w:r w:rsidRPr="00C36123">
        <w:rPr>
          <w:color w:val="auto"/>
          <w:lang w:val="en-GB"/>
        </w:rPr>
        <w:t xml:space="preserve">By commemorating the 10 years since the Russian aggression against Georgia, which has significantly impeded Georgia’s economic development, we continue to call on the international community to stand united in supporting Georgia and to continue to demand that Russia </w:t>
      </w:r>
      <w:r w:rsidR="005F6D7D" w:rsidRPr="00C36123">
        <w:rPr>
          <w:color w:val="auto"/>
          <w:lang w:val="en-GB"/>
        </w:rPr>
        <w:t xml:space="preserve">fully and without any further </w:t>
      </w:r>
      <w:r w:rsidR="003F3691" w:rsidRPr="00C36123">
        <w:rPr>
          <w:color w:val="auto"/>
          <w:lang w:val="en-GB"/>
        </w:rPr>
        <w:t xml:space="preserve">delay </w:t>
      </w:r>
      <w:r w:rsidRPr="00C36123">
        <w:rPr>
          <w:color w:val="auto"/>
          <w:lang w:val="en-GB"/>
        </w:rPr>
        <w:t xml:space="preserve">implements its international commitments </w:t>
      </w:r>
      <w:r w:rsidR="005F6D7D" w:rsidRPr="00C36123">
        <w:rPr>
          <w:color w:val="auto"/>
          <w:lang w:val="en-GB"/>
        </w:rPr>
        <w:t>and</w:t>
      </w:r>
      <w:r w:rsidRPr="00C36123">
        <w:rPr>
          <w:color w:val="auto"/>
          <w:lang w:val="en-GB"/>
        </w:rPr>
        <w:t xml:space="preserve"> starts </w:t>
      </w:r>
      <w:r w:rsidR="00644DEE" w:rsidRPr="00C36123">
        <w:rPr>
          <w:color w:val="auto"/>
          <w:lang w:val="en-GB"/>
        </w:rPr>
        <w:t>honouring</w:t>
      </w:r>
      <w:r w:rsidRPr="00C36123">
        <w:rPr>
          <w:color w:val="auto"/>
          <w:lang w:val="en-GB"/>
        </w:rPr>
        <w:t xml:space="preserve"> international law and the right of sovereign neighbouring states to choose their own destiny.</w:t>
      </w:r>
    </w:p>
    <w:sectPr w:rsidR="00820F6A" w:rsidRPr="00C36123">
      <w:pgSz w:w="11900" w:h="16840"/>
      <w:pgMar w:top="1701" w:right="567" w:bottom="1134" w:left="1701"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B90" w:rsidRDefault="00A83B90">
      <w:r>
        <w:separator/>
      </w:r>
    </w:p>
  </w:endnote>
  <w:endnote w:type="continuationSeparator" w:id="0">
    <w:p w:rsidR="00A83B90" w:rsidRDefault="00A8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B90" w:rsidRDefault="00A83B90">
      <w:r>
        <w:separator/>
      </w:r>
    </w:p>
  </w:footnote>
  <w:footnote w:type="continuationSeparator" w:id="0">
    <w:p w:rsidR="00A83B90" w:rsidRDefault="00A83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D4F81"/>
    <w:multiLevelType w:val="hybridMultilevel"/>
    <w:tmpl w:val="79786AAC"/>
    <w:styleLink w:val="ImportedStyle1"/>
    <w:lvl w:ilvl="0" w:tplc="D53C1D54">
      <w:start w:val="1"/>
      <w:numFmt w:val="decimal"/>
      <w:lvlText w:val="%1."/>
      <w:lvlJc w:val="left"/>
      <w:pPr>
        <w:ind w:left="42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7C57E8">
      <w:start w:val="1"/>
      <w:numFmt w:val="lowerLetter"/>
      <w:lvlText w:val="%2."/>
      <w:lvlJc w:val="left"/>
      <w:pPr>
        <w:ind w:left="114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964C30">
      <w:start w:val="1"/>
      <w:numFmt w:val="lowerRoman"/>
      <w:lvlText w:val="%3."/>
      <w:lvlJc w:val="left"/>
      <w:pPr>
        <w:ind w:left="1865"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A8CFA2">
      <w:start w:val="1"/>
      <w:numFmt w:val="decimal"/>
      <w:lvlText w:val="%4."/>
      <w:lvlJc w:val="left"/>
      <w:pPr>
        <w:ind w:left="258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1209D0">
      <w:start w:val="1"/>
      <w:numFmt w:val="lowerLetter"/>
      <w:lvlText w:val="%5."/>
      <w:lvlJc w:val="left"/>
      <w:pPr>
        <w:ind w:left="330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DD1A">
      <w:start w:val="1"/>
      <w:numFmt w:val="lowerRoman"/>
      <w:lvlText w:val="%6."/>
      <w:lvlJc w:val="left"/>
      <w:pPr>
        <w:ind w:left="4025"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100D90">
      <w:start w:val="1"/>
      <w:numFmt w:val="decimal"/>
      <w:lvlText w:val="%7."/>
      <w:lvlJc w:val="left"/>
      <w:pPr>
        <w:ind w:left="474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0232F0">
      <w:start w:val="1"/>
      <w:numFmt w:val="lowerLetter"/>
      <w:lvlText w:val="%8."/>
      <w:lvlJc w:val="left"/>
      <w:pPr>
        <w:ind w:left="546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E22C16">
      <w:start w:val="1"/>
      <w:numFmt w:val="lowerRoman"/>
      <w:lvlText w:val="%9."/>
      <w:lvlJc w:val="left"/>
      <w:pPr>
        <w:ind w:left="6185"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1DE7676"/>
    <w:multiLevelType w:val="hybridMultilevel"/>
    <w:tmpl w:val="79786AAC"/>
    <w:numStyleLink w:val="ImportedStyle1"/>
  </w:abstractNum>
  <w:abstractNum w:abstractNumId="2" w15:restartNumberingAfterBreak="0">
    <w:nsid w:val="4CCD2850"/>
    <w:multiLevelType w:val="hybridMultilevel"/>
    <w:tmpl w:val="79786AAC"/>
    <w:lvl w:ilvl="0" w:tplc="418AA3BC">
      <w:start w:val="1"/>
      <w:numFmt w:val="decimal"/>
      <w:lvlText w:val="%1."/>
      <w:lvlJc w:val="left"/>
      <w:pPr>
        <w:ind w:left="42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B0C570">
      <w:start w:val="1"/>
      <w:numFmt w:val="lowerLetter"/>
      <w:lvlText w:val="%2."/>
      <w:lvlJc w:val="left"/>
      <w:pPr>
        <w:ind w:left="114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249086">
      <w:start w:val="1"/>
      <w:numFmt w:val="lowerRoman"/>
      <w:lvlText w:val="%3."/>
      <w:lvlJc w:val="left"/>
      <w:pPr>
        <w:ind w:left="1865"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DA0EDA">
      <w:start w:val="1"/>
      <w:numFmt w:val="decimal"/>
      <w:lvlText w:val="%4."/>
      <w:lvlJc w:val="left"/>
      <w:pPr>
        <w:ind w:left="258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76BD5A">
      <w:start w:val="1"/>
      <w:numFmt w:val="lowerLetter"/>
      <w:lvlText w:val="%5."/>
      <w:lvlJc w:val="left"/>
      <w:pPr>
        <w:ind w:left="330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E49F00">
      <w:start w:val="1"/>
      <w:numFmt w:val="lowerRoman"/>
      <w:lvlText w:val="%6."/>
      <w:lvlJc w:val="left"/>
      <w:pPr>
        <w:ind w:left="4025"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624768">
      <w:start w:val="1"/>
      <w:numFmt w:val="decimal"/>
      <w:lvlText w:val="%7."/>
      <w:lvlJc w:val="left"/>
      <w:pPr>
        <w:ind w:left="474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428A5E">
      <w:start w:val="1"/>
      <w:numFmt w:val="lowerLetter"/>
      <w:lvlText w:val="%8."/>
      <w:lvlJc w:val="left"/>
      <w:pPr>
        <w:ind w:left="546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80F552">
      <w:start w:val="1"/>
      <w:numFmt w:val="lowerRoman"/>
      <w:lvlText w:val="%9."/>
      <w:lvlJc w:val="left"/>
      <w:pPr>
        <w:ind w:left="6185" w:hanging="3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296"/>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59C"/>
    <w:rsid w:val="0000459C"/>
    <w:rsid w:val="00047FB1"/>
    <w:rsid w:val="000847C0"/>
    <w:rsid w:val="000F1225"/>
    <w:rsid w:val="0014325E"/>
    <w:rsid w:val="001B1BD0"/>
    <w:rsid w:val="001B53FE"/>
    <w:rsid w:val="001E11D7"/>
    <w:rsid w:val="00233F07"/>
    <w:rsid w:val="0024217C"/>
    <w:rsid w:val="002D39D0"/>
    <w:rsid w:val="002D7D5C"/>
    <w:rsid w:val="002E2F4D"/>
    <w:rsid w:val="002F25DB"/>
    <w:rsid w:val="003114C7"/>
    <w:rsid w:val="003221A8"/>
    <w:rsid w:val="003D2A15"/>
    <w:rsid w:val="003D7294"/>
    <w:rsid w:val="003E2D47"/>
    <w:rsid w:val="003F3691"/>
    <w:rsid w:val="004736C4"/>
    <w:rsid w:val="004804C2"/>
    <w:rsid w:val="0048705B"/>
    <w:rsid w:val="00495A22"/>
    <w:rsid w:val="0054102B"/>
    <w:rsid w:val="00546376"/>
    <w:rsid w:val="00550B0A"/>
    <w:rsid w:val="005D0311"/>
    <w:rsid w:val="005E12B1"/>
    <w:rsid w:val="005F6D7D"/>
    <w:rsid w:val="00637045"/>
    <w:rsid w:val="00644ACE"/>
    <w:rsid w:val="00644DEE"/>
    <w:rsid w:val="0067579A"/>
    <w:rsid w:val="006A1C5A"/>
    <w:rsid w:val="006D472A"/>
    <w:rsid w:val="0074295E"/>
    <w:rsid w:val="00746C23"/>
    <w:rsid w:val="007C6BCF"/>
    <w:rsid w:val="007F2466"/>
    <w:rsid w:val="0081617A"/>
    <w:rsid w:val="00820F6A"/>
    <w:rsid w:val="008308B7"/>
    <w:rsid w:val="00874548"/>
    <w:rsid w:val="008D68BA"/>
    <w:rsid w:val="008F61D9"/>
    <w:rsid w:val="00976D3F"/>
    <w:rsid w:val="00990D20"/>
    <w:rsid w:val="00A83B90"/>
    <w:rsid w:val="00AA50F7"/>
    <w:rsid w:val="00AC0B33"/>
    <w:rsid w:val="00B56ED9"/>
    <w:rsid w:val="00B62C7D"/>
    <w:rsid w:val="00B67C5A"/>
    <w:rsid w:val="00B775A0"/>
    <w:rsid w:val="00B869D1"/>
    <w:rsid w:val="00BD0E5D"/>
    <w:rsid w:val="00BF0128"/>
    <w:rsid w:val="00C36123"/>
    <w:rsid w:val="00C36BD2"/>
    <w:rsid w:val="00C92D62"/>
    <w:rsid w:val="00C93EEB"/>
    <w:rsid w:val="00CE3C38"/>
    <w:rsid w:val="00D22FAE"/>
    <w:rsid w:val="00D34814"/>
    <w:rsid w:val="00D60292"/>
    <w:rsid w:val="00D60B98"/>
    <w:rsid w:val="00D833D9"/>
    <w:rsid w:val="00DC42C1"/>
    <w:rsid w:val="00DE3B09"/>
    <w:rsid w:val="00E77850"/>
    <w:rsid w:val="00EA49A9"/>
    <w:rsid w:val="00EC0358"/>
    <w:rsid w:val="00EF3B83"/>
    <w:rsid w:val="00F276EA"/>
    <w:rsid w:val="00F76DDD"/>
    <w:rsid w:val="00F83B85"/>
    <w:rsid w:val="00FE2D1C"/>
    <w:rsid w:val="00FE7B25"/>
  </w:rsids>
  <m:mathPr>
    <m:mathFont m:val="Cambria Math"/>
    <m:brkBin m:val="before"/>
    <m:brkBinSub m:val="--"/>
    <m:smallFrac m:val="0"/>
    <m:dispDef/>
    <m:lMargin m:val="0"/>
    <m:rMargin m:val="0"/>
    <m:defJc m:val="centerGroup"/>
    <m:wrapIndent m:val="1440"/>
    <m:intLim m:val="subSup"/>
    <m:naryLim m:val="undOvr"/>
  </m:mathPr>
  <w:themeFontLang w:val="pl-PL"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F8FAE"/>
  <w15:docId w15:val="{F9C2628A-E883-449D-8A9A-99F8C65C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cs="Arial Unicode MS"/>
      <w:color w:val="000000"/>
      <w:sz w:val="24"/>
      <w:szCs w:val="24"/>
      <w:u w:color="000000"/>
      <w:lang w:val="en-US"/>
    </w:rPr>
  </w:style>
  <w:style w:type="paragraph" w:styleId="ListParagraph">
    <w:name w:val="List Paragraph"/>
    <w:pPr>
      <w:ind w:left="720"/>
    </w:pPr>
    <w:rPr>
      <w:rFonts w:cs="Arial Unicode MS"/>
      <w:color w:val="000000"/>
      <w:sz w:val="24"/>
      <w:szCs w:val="24"/>
      <w:u w:color="000000"/>
      <w:lang w:val="de-DE"/>
    </w:rPr>
  </w:style>
  <w:style w:type="numbering" w:customStyle="1" w:styleId="ImportedStyle1">
    <w:name w:val="Imported Style 1"/>
    <w:pPr>
      <w:numPr>
        <w:numId w:val="1"/>
      </w:numPr>
    </w:pPr>
  </w:style>
  <w:style w:type="paragraph" w:styleId="Revision">
    <w:name w:val="Revision"/>
    <w:hidden/>
    <w:uiPriority w:val="99"/>
    <w:semiHidden/>
    <w:rsid w:val="008308B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BalloonText">
    <w:name w:val="Balloon Text"/>
    <w:basedOn w:val="Normal"/>
    <w:link w:val="BalloonTextChar"/>
    <w:uiPriority w:val="99"/>
    <w:semiHidden/>
    <w:unhideWhenUsed/>
    <w:rsid w:val="00830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8B7"/>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8308B7"/>
    <w:rPr>
      <w:sz w:val="16"/>
      <w:szCs w:val="16"/>
    </w:rPr>
  </w:style>
  <w:style w:type="paragraph" w:styleId="CommentText">
    <w:name w:val="annotation text"/>
    <w:basedOn w:val="Normal"/>
    <w:link w:val="CommentTextChar"/>
    <w:uiPriority w:val="99"/>
    <w:semiHidden/>
    <w:unhideWhenUsed/>
    <w:rsid w:val="008308B7"/>
    <w:rPr>
      <w:sz w:val="20"/>
      <w:szCs w:val="20"/>
    </w:rPr>
  </w:style>
  <w:style w:type="character" w:customStyle="1" w:styleId="CommentTextChar">
    <w:name w:val="Comment Text Char"/>
    <w:basedOn w:val="DefaultParagraphFont"/>
    <w:link w:val="CommentText"/>
    <w:uiPriority w:val="99"/>
    <w:semiHidden/>
    <w:rsid w:val="008308B7"/>
    <w:rPr>
      <w:lang w:val="en-US" w:eastAsia="en-US"/>
    </w:rPr>
  </w:style>
  <w:style w:type="paragraph" w:styleId="CommentSubject">
    <w:name w:val="annotation subject"/>
    <w:basedOn w:val="CommentText"/>
    <w:next w:val="CommentText"/>
    <w:link w:val="CommentSubjectChar"/>
    <w:uiPriority w:val="99"/>
    <w:semiHidden/>
    <w:unhideWhenUsed/>
    <w:rsid w:val="008308B7"/>
    <w:rPr>
      <w:b/>
      <w:bCs/>
    </w:rPr>
  </w:style>
  <w:style w:type="character" w:customStyle="1" w:styleId="CommentSubjectChar">
    <w:name w:val="Comment Subject Char"/>
    <w:basedOn w:val="CommentTextChar"/>
    <w:link w:val="CommentSubject"/>
    <w:uiPriority w:val="99"/>
    <w:semiHidden/>
    <w:rsid w:val="008308B7"/>
    <w:rPr>
      <w:b/>
      <w:bCs/>
      <w:lang w:val="en-US" w:eastAsia="en-US"/>
    </w:rPr>
  </w:style>
  <w:style w:type="paragraph" w:styleId="Header">
    <w:name w:val="header"/>
    <w:basedOn w:val="Normal"/>
    <w:link w:val="HeaderChar"/>
    <w:uiPriority w:val="99"/>
    <w:unhideWhenUsed/>
    <w:rsid w:val="00D833D9"/>
    <w:pPr>
      <w:tabs>
        <w:tab w:val="center" w:pos="4513"/>
        <w:tab w:val="right" w:pos="9026"/>
      </w:tabs>
    </w:pPr>
  </w:style>
  <w:style w:type="character" w:customStyle="1" w:styleId="HeaderChar">
    <w:name w:val="Header Char"/>
    <w:basedOn w:val="DefaultParagraphFont"/>
    <w:link w:val="Header"/>
    <w:uiPriority w:val="99"/>
    <w:rsid w:val="00D833D9"/>
    <w:rPr>
      <w:sz w:val="24"/>
      <w:szCs w:val="24"/>
      <w:lang w:val="en-US" w:eastAsia="en-US"/>
    </w:rPr>
  </w:style>
  <w:style w:type="paragraph" w:styleId="Footer">
    <w:name w:val="footer"/>
    <w:basedOn w:val="Normal"/>
    <w:link w:val="FooterChar"/>
    <w:uiPriority w:val="99"/>
    <w:unhideWhenUsed/>
    <w:rsid w:val="00D833D9"/>
    <w:pPr>
      <w:tabs>
        <w:tab w:val="center" w:pos="4513"/>
        <w:tab w:val="right" w:pos="9026"/>
      </w:tabs>
    </w:pPr>
  </w:style>
  <w:style w:type="character" w:customStyle="1" w:styleId="FooterChar">
    <w:name w:val="Footer Char"/>
    <w:basedOn w:val="DefaultParagraphFont"/>
    <w:link w:val="Footer"/>
    <w:uiPriority w:val="99"/>
    <w:rsid w:val="00D833D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3550</Words>
  <Characters>2025</Characters>
  <Application>Microsoft Office Word</Application>
  <DocSecurity>0</DocSecurity>
  <Lines>16</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MFA Latvia</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Łatkiewicz-Pawlak Małgorzata</dc:creator>
  <cp:lastModifiedBy>Inga STANYTĖ-TOLOČKIENĖ</cp:lastModifiedBy>
  <cp:revision>2</cp:revision>
  <cp:lastPrinted>2018-08-01T08:01:00Z</cp:lastPrinted>
  <dcterms:created xsi:type="dcterms:W3CDTF">2018-08-05T06:46:00Z</dcterms:created>
  <dcterms:modified xsi:type="dcterms:W3CDTF">2018-08-05T06:46:00Z</dcterms:modified>
</cp:coreProperties>
</file>