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7733" w14:textId="77777777" w:rsidR="002132B8" w:rsidRPr="00A75E02" w:rsidRDefault="002132B8" w:rsidP="00742FA3">
      <w:pPr>
        <w:tabs>
          <w:tab w:val="left" w:pos="720"/>
        </w:tabs>
        <w:spacing w:before="100" w:beforeAutospacing="1" w:after="100" w:afterAutospacing="1" w:line="240" w:lineRule="auto"/>
        <w:jc w:val="center"/>
        <w:rPr>
          <w:rFonts w:ascii="Times New Roman" w:hAnsi="Times New Roman" w:cs="Times New Roman"/>
          <w:b/>
          <w:sz w:val="24"/>
          <w:szCs w:val="24"/>
        </w:rPr>
      </w:pPr>
      <w:r w:rsidRPr="00A75E02">
        <w:rPr>
          <w:rFonts w:ascii="Times New Roman" w:hAnsi="Times New Roman"/>
          <w:b/>
          <w:sz w:val="24"/>
          <w:szCs w:val="24"/>
        </w:rPr>
        <w:t xml:space="preserve">THE NINTH AND TENTH PERIODIC REPORT OF THE REPUBLIC OF LITHUANIA UNDER THE </w:t>
      </w:r>
      <w:r w:rsidR="00136CC9" w:rsidRPr="00A75E02">
        <w:rPr>
          <w:rFonts w:ascii="Times New Roman" w:hAnsi="Times New Roman"/>
          <w:b/>
          <w:sz w:val="24"/>
          <w:szCs w:val="24"/>
        </w:rPr>
        <w:t xml:space="preserve">INTERNATIONAL </w:t>
      </w:r>
      <w:r w:rsidRPr="00A75E02">
        <w:rPr>
          <w:rFonts w:ascii="Times New Roman" w:hAnsi="Times New Roman"/>
          <w:b/>
          <w:sz w:val="24"/>
          <w:szCs w:val="24"/>
        </w:rPr>
        <w:t>CONVENTION ON THE ELIMINATION OF ALL FORMS OF RACIAL DISCRIMINATION</w:t>
      </w:r>
    </w:p>
    <w:sdt>
      <w:sdtPr>
        <w:rPr>
          <w:rFonts w:asciiTheme="minorHAnsi" w:eastAsiaTheme="minorHAnsi" w:hAnsiTheme="minorHAnsi" w:cs="Times New Roman"/>
          <w:b w:val="0"/>
          <w:sz w:val="22"/>
          <w:szCs w:val="24"/>
        </w:rPr>
        <w:id w:val="-1572350048"/>
        <w:docPartObj>
          <w:docPartGallery w:val="Table of Contents"/>
          <w:docPartUnique/>
        </w:docPartObj>
      </w:sdtPr>
      <w:sdtEndPr>
        <w:rPr>
          <w:bCs/>
          <w:noProof/>
        </w:rPr>
      </w:sdtEndPr>
      <w:sdtContent>
        <w:p w14:paraId="7A049EC3" w14:textId="77777777" w:rsidR="00742FA3" w:rsidRPr="00A75E02" w:rsidRDefault="00742FA3">
          <w:pPr>
            <w:pStyle w:val="TOCHeading"/>
            <w:rPr>
              <w:rFonts w:cs="Times New Roman"/>
              <w:szCs w:val="24"/>
            </w:rPr>
          </w:pPr>
          <w:r w:rsidRPr="00A75E02">
            <w:t>CONTENTS</w:t>
          </w:r>
        </w:p>
        <w:p w14:paraId="406C8643" w14:textId="65F3DC4A" w:rsidR="00FD1363" w:rsidRDefault="00742FA3">
          <w:pPr>
            <w:pStyle w:val="TOC1"/>
            <w:tabs>
              <w:tab w:val="right" w:leader="dot" w:pos="9628"/>
            </w:tabs>
            <w:rPr>
              <w:rFonts w:eastAsiaTheme="minorEastAsia"/>
              <w:noProof/>
              <w:lang w:val="lt-LT" w:eastAsia="lt-LT"/>
            </w:rPr>
          </w:pPr>
          <w:r w:rsidRPr="00A75E02">
            <w:rPr>
              <w:rFonts w:ascii="Times New Roman" w:hAnsi="Times New Roman" w:cs="Times New Roman"/>
              <w:sz w:val="24"/>
              <w:szCs w:val="24"/>
            </w:rPr>
            <w:fldChar w:fldCharType="begin"/>
          </w:r>
          <w:r w:rsidRPr="00A75E02">
            <w:rPr>
              <w:rFonts w:ascii="Times New Roman" w:hAnsi="Times New Roman" w:cs="Times New Roman"/>
              <w:sz w:val="24"/>
              <w:szCs w:val="24"/>
            </w:rPr>
            <w:instrText xml:space="preserve"> TOC \o "1-3" \h \z \u </w:instrText>
          </w:r>
          <w:r w:rsidRPr="00A75E02">
            <w:rPr>
              <w:rFonts w:ascii="Times New Roman" w:hAnsi="Times New Roman" w:cs="Times New Roman"/>
              <w:sz w:val="24"/>
              <w:szCs w:val="24"/>
            </w:rPr>
            <w:fldChar w:fldCharType="separate"/>
          </w:r>
          <w:hyperlink w:anchor="_Toc503943131" w:history="1">
            <w:r w:rsidR="00FD1363" w:rsidRPr="00831725">
              <w:rPr>
                <w:rStyle w:val="Hyperlink"/>
                <w:noProof/>
              </w:rPr>
              <w:t>ABBREVIATIONS:</w:t>
            </w:r>
            <w:r w:rsidR="00FD1363">
              <w:rPr>
                <w:noProof/>
                <w:webHidden/>
              </w:rPr>
              <w:tab/>
            </w:r>
            <w:r w:rsidR="00FD1363">
              <w:rPr>
                <w:noProof/>
                <w:webHidden/>
              </w:rPr>
              <w:fldChar w:fldCharType="begin"/>
            </w:r>
            <w:r w:rsidR="00FD1363">
              <w:rPr>
                <w:noProof/>
                <w:webHidden/>
              </w:rPr>
              <w:instrText xml:space="preserve"> PAGEREF _Toc503943131 \h </w:instrText>
            </w:r>
            <w:r w:rsidR="00FD1363">
              <w:rPr>
                <w:noProof/>
                <w:webHidden/>
              </w:rPr>
            </w:r>
            <w:r w:rsidR="00FD1363">
              <w:rPr>
                <w:noProof/>
                <w:webHidden/>
              </w:rPr>
              <w:fldChar w:fldCharType="separate"/>
            </w:r>
            <w:r w:rsidR="006E30E5">
              <w:rPr>
                <w:noProof/>
                <w:webHidden/>
              </w:rPr>
              <w:t>2</w:t>
            </w:r>
            <w:r w:rsidR="00FD1363">
              <w:rPr>
                <w:noProof/>
                <w:webHidden/>
              </w:rPr>
              <w:fldChar w:fldCharType="end"/>
            </w:r>
          </w:hyperlink>
        </w:p>
        <w:p w14:paraId="1E679CD2" w14:textId="192917C1" w:rsidR="00FD1363" w:rsidRDefault="006E30E5">
          <w:pPr>
            <w:pStyle w:val="TOC1"/>
            <w:tabs>
              <w:tab w:val="left" w:pos="440"/>
              <w:tab w:val="right" w:leader="dot" w:pos="9628"/>
            </w:tabs>
            <w:rPr>
              <w:rFonts w:eastAsiaTheme="minorEastAsia"/>
              <w:noProof/>
              <w:lang w:val="lt-LT" w:eastAsia="lt-LT"/>
            </w:rPr>
          </w:pPr>
          <w:hyperlink w:anchor="_Toc503943132" w:history="1">
            <w:r w:rsidR="00FD1363" w:rsidRPr="00831725">
              <w:rPr>
                <w:rStyle w:val="Hyperlink"/>
                <w:noProof/>
              </w:rPr>
              <w:t>I.</w:t>
            </w:r>
            <w:r w:rsidR="00FD1363">
              <w:rPr>
                <w:rFonts w:eastAsiaTheme="minorEastAsia"/>
                <w:noProof/>
                <w:lang w:val="lt-LT" w:eastAsia="lt-LT"/>
              </w:rPr>
              <w:tab/>
            </w:r>
            <w:r w:rsidR="00FD1363" w:rsidRPr="00831725">
              <w:rPr>
                <w:rStyle w:val="Hyperlink"/>
                <w:noProof/>
              </w:rPr>
              <w:t>INTRODUCTION</w:t>
            </w:r>
            <w:r w:rsidR="00FD1363">
              <w:rPr>
                <w:noProof/>
                <w:webHidden/>
              </w:rPr>
              <w:tab/>
            </w:r>
            <w:r w:rsidR="00FD1363">
              <w:rPr>
                <w:noProof/>
                <w:webHidden/>
              </w:rPr>
              <w:fldChar w:fldCharType="begin"/>
            </w:r>
            <w:r w:rsidR="00FD1363">
              <w:rPr>
                <w:noProof/>
                <w:webHidden/>
              </w:rPr>
              <w:instrText xml:space="preserve"> PAGEREF _Toc503943132 \h </w:instrText>
            </w:r>
            <w:r w:rsidR="00FD1363">
              <w:rPr>
                <w:noProof/>
                <w:webHidden/>
              </w:rPr>
            </w:r>
            <w:r w:rsidR="00FD1363">
              <w:rPr>
                <w:noProof/>
                <w:webHidden/>
              </w:rPr>
              <w:fldChar w:fldCharType="separate"/>
            </w:r>
            <w:r>
              <w:rPr>
                <w:noProof/>
                <w:webHidden/>
              </w:rPr>
              <w:t>3</w:t>
            </w:r>
            <w:r w:rsidR="00FD1363">
              <w:rPr>
                <w:noProof/>
                <w:webHidden/>
              </w:rPr>
              <w:fldChar w:fldCharType="end"/>
            </w:r>
          </w:hyperlink>
        </w:p>
        <w:p w14:paraId="07F7EE06" w14:textId="5F629E72" w:rsidR="00FD1363" w:rsidRDefault="006E30E5">
          <w:pPr>
            <w:pStyle w:val="TOC1"/>
            <w:tabs>
              <w:tab w:val="right" w:leader="dot" w:pos="9628"/>
            </w:tabs>
            <w:rPr>
              <w:rFonts w:eastAsiaTheme="minorEastAsia"/>
              <w:noProof/>
              <w:lang w:val="lt-LT" w:eastAsia="lt-LT"/>
            </w:rPr>
          </w:pPr>
          <w:hyperlink w:anchor="_Toc503943133" w:history="1">
            <w:r w:rsidR="00FD1363" w:rsidRPr="00831725">
              <w:rPr>
                <w:rStyle w:val="Hyperlink"/>
                <w:noProof/>
              </w:rPr>
              <w:t>II. INFORMATION ON THE IMPLEMENTATION OF RECOMMENDATIONS OF THE COMMITTEE</w:t>
            </w:r>
            <w:r w:rsidR="00FD1363">
              <w:rPr>
                <w:noProof/>
                <w:webHidden/>
              </w:rPr>
              <w:tab/>
            </w:r>
            <w:r w:rsidR="00FD1363">
              <w:rPr>
                <w:noProof/>
                <w:webHidden/>
              </w:rPr>
              <w:fldChar w:fldCharType="begin"/>
            </w:r>
            <w:r w:rsidR="00FD1363">
              <w:rPr>
                <w:noProof/>
                <w:webHidden/>
              </w:rPr>
              <w:instrText xml:space="preserve"> PAGEREF _Toc503943133 \h </w:instrText>
            </w:r>
            <w:r w:rsidR="00FD1363">
              <w:rPr>
                <w:noProof/>
                <w:webHidden/>
              </w:rPr>
            </w:r>
            <w:r w:rsidR="00FD1363">
              <w:rPr>
                <w:noProof/>
                <w:webHidden/>
              </w:rPr>
              <w:fldChar w:fldCharType="separate"/>
            </w:r>
            <w:r>
              <w:rPr>
                <w:noProof/>
                <w:webHidden/>
              </w:rPr>
              <w:t>3</w:t>
            </w:r>
            <w:r w:rsidR="00FD1363">
              <w:rPr>
                <w:noProof/>
                <w:webHidden/>
              </w:rPr>
              <w:fldChar w:fldCharType="end"/>
            </w:r>
          </w:hyperlink>
        </w:p>
        <w:p w14:paraId="4D730577" w14:textId="36179CC3" w:rsidR="00FD1363" w:rsidRDefault="006E30E5">
          <w:pPr>
            <w:pStyle w:val="TOC1"/>
            <w:tabs>
              <w:tab w:val="right" w:leader="dot" w:pos="9628"/>
            </w:tabs>
            <w:rPr>
              <w:rFonts w:eastAsiaTheme="minorEastAsia"/>
              <w:noProof/>
              <w:lang w:val="lt-LT" w:eastAsia="lt-LT"/>
            </w:rPr>
          </w:pPr>
          <w:hyperlink w:anchor="_Toc503943134" w:history="1">
            <w:r w:rsidR="00FD1363" w:rsidRPr="00831725">
              <w:rPr>
                <w:rStyle w:val="Hyperlink"/>
                <w:noProof/>
              </w:rPr>
              <w:t>III. Information under articles of the Convention</w:t>
            </w:r>
            <w:r w:rsidR="00FD1363">
              <w:rPr>
                <w:noProof/>
                <w:webHidden/>
              </w:rPr>
              <w:tab/>
            </w:r>
            <w:r w:rsidR="00FD1363">
              <w:rPr>
                <w:noProof/>
                <w:webHidden/>
              </w:rPr>
              <w:fldChar w:fldCharType="begin"/>
            </w:r>
            <w:r w:rsidR="00FD1363">
              <w:rPr>
                <w:noProof/>
                <w:webHidden/>
              </w:rPr>
              <w:instrText xml:space="preserve"> PAGEREF _Toc503943134 \h </w:instrText>
            </w:r>
            <w:r w:rsidR="00FD1363">
              <w:rPr>
                <w:noProof/>
                <w:webHidden/>
              </w:rPr>
            </w:r>
            <w:r w:rsidR="00FD1363">
              <w:rPr>
                <w:noProof/>
                <w:webHidden/>
              </w:rPr>
              <w:fldChar w:fldCharType="separate"/>
            </w:r>
            <w:r>
              <w:rPr>
                <w:noProof/>
                <w:webHidden/>
              </w:rPr>
              <w:t>33</w:t>
            </w:r>
            <w:r w:rsidR="00FD1363">
              <w:rPr>
                <w:noProof/>
                <w:webHidden/>
              </w:rPr>
              <w:fldChar w:fldCharType="end"/>
            </w:r>
          </w:hyperlink>
        </w:p>
        <w:p w14:paraId="50A5834A" w14:textId="141C248E" w:rsidR="00FD1363" w:rsidRDefault="006E30E5">
          <w:pPr>
            <w:pStyle w:val="TOC2"/>
            <w:tabs>
              <w:tab w:val="right" w:leader="dot" w:pos="9628"/>
            </w:tabs>
            <w:rPr>
              <w:rFonts w:eastAsiaTheme="minorEastAsia"/>
              <w:noProof/>
              <w:lang w:val="lt-LT" w:eastAsia="lt-LT"/>
            </w:rPr>
          </w:pPr>
          <w:hyperlink w:anchor="_Toc503943135" w:history="1">
            <w:r w:rsidR="00FD1363" w:rsidRPr="00831725">
              <w:rPr>
                <w:rStyle w:val="Hyperlink"/>
                <w:noProof/>
              </w:rPr>
              <w:t>ARTICLE 2</w:t>
            </w:r>
            <w:r w:rsidR="00FD1363">
              <w:rPr>
                <w:noProof/>
                <w:webHidden/>
              </w:rPr>
              <w:tab/>
            </w:r>
            <w:r w:rsidR="00FD1363">
              <w:rPr>
                <w:noProof/>
                <w:webHidden/>
              </w:rPr>
              <w:fldChar w:fldCharType="begin"/>
            </w:r>
            <w:r w:rsidR="00FD1363">
              <w:rPr>
                <w:noProof/>
                <w:webHidden/>
              </w:rPr>
              <w:instrText xml:space="preserve"> PAGEREF _Toc503943135 \h </w:instrText>
            </w:r>
            <w:r w:rsidR="00FD1363">
              <w:rPr>
                <w:noProof/>
                <w:webHidden/>
              </w:rPr>
            </w:r>
            <w:r w:rsidR="00FD1363">
              <w:rPr>
                <w:noProof/>
                <w:webHidden/>
              </w:rPr>
              <w:fldChar w:fldCharType="separate"/>
            </w:r>
            <w:r>
              <w:rPr>
                <w:noProof/>
                <w:webHidden/>
              </w:rPr>
              <w:t>33</w:t>
            </w:r>
            <w:r w:rsidR="00FD1363">
              <w:rPr>
                <w:noProof/>
                <w:webHidden/>
              </w:rPr>
              <w:fldChar w:fldCharType="end"/>
            </w:r>
          </w:hyperlink>
        </w:p>
        <w:p w14:paraId="78AA9EA6" w14:textId="649C6B01" w:rsidR="00FD1363" w:rsidRDefault="006E30E5">
          <w:pPr>
            <w:pStyle w:val="TOC2"/>
            <w:tabs>
              <w:tab w:val="right" w:leader="dot" w:pos="9628"/>
            </w:tabs>
            <w:rPr>
              <w:rFonts w:eastAsiaTheme="minorEastAsia"/>
              <w:noProof/>
              <w:lang w:val="lt-LT" w:eastAsia="lt-LT"/>
            </w:rPr>
          </w:pPr>
          <w:hyperlink w:anchor="_Toc503943136" w:history="1">
            <w:r w:rsidR="00FD1363" w:rsidRPr="00831725">
              <w:rPr>
                <w:rStyle w:val="Hyperlink"/>
                <w:noProof/>
              </w:rPr>
              <w:t>ARTICLE 3</w:t>
            </w:r>
            <w:r w:rsidR="00FD1363">
              <w:rPr>
                <w:noProof/>
                <w:webHidden/>
              </w:rPr>
              <w:tab/>
            </w:r>
            <w:r w:rsidR="00FD1363">
              <w:rPr>
                <w:noProof/>
                <w:webHidden/>
              </w:rPr>
              <w:fldChar w:fldCharType="begin"/>
            </w:r>
            <w:r w:rsidR="00FD1363">
              <w:rPr>
                <w:noProof/>
                <w:webHidden/>
              </w:rPr>
              <w:instrText xml:space="preserve"> PAGEREF _Toc503943136 \h </w:instrText>
            </w:r>
            <w:r w:rsidR="00FD1363">
              <w:rPr>
                <w:noProof/>
                <w:webHidden/>
              </w:rPr>
            </w:r>
            <w:r w:rsidR="00FD1363">
              <w:rPr>
                <w:noProof/>
                <w:webHidden/>
              </w:rPr>
              <w:fldChar w:fldCharType="separate"/>
            </w:r>
            <w:r>
              <w:rPr>
                <w:noProof/>
                <w:webHidden/>
              </w:rPr>
              <w:t>34</w:t>
            </w:r>
            <w:r w:rsidR="00FD1363">
              <w:rPr>
                <w:noProof/>
                <w:webHidden/>
              </w:rPr>
              <w:fldChar w:fldCharType="end"/>
            </w:r>
          </w:hyperlink>
        </w:p>
        <w:p w14:paraId="44952E4E" w14:textId="6CE80DAF" w:rsidR="00FD1363" w:rsidRDefault="006E30E5">
          <w:pPr>
            <w:pStyle w:val="TOC2"/>
            <w:tabs>
              <w:tab w:val="right" w:leader="dot" w:pos="9628"/>
            </w:tabs>
            <w:rPr>
              <w:rFonts w:eastAsiaTheme="minorEastAsia"/>
              <w:noProof/>
              <w:lang w:val="lt-LT" w:eastAsia="lt-LT"/>
            </w:rPr>
          </w:pPr>
          <w:hyperlink w:anchor="_Toc503943137" w:history="1">
            <w:r w:rsidR="00FD1363" w:rsidRPr="00831725">
              <w:rPr>
                <w:rStyle w:val="Hyperlink"/>
                <w:noProof/>
              </w:rPr>
              <w:t>ARTICLE 4</w:t>
            </w:r>
            <w:r w:rsidR="00FD1363">
              <w:rPr>
                <w:noProof/>
                <w:webHidden/>
              </w:rPr>
              <w:tab/>
            </w:r>
            <w:r w:rsidR="00FD1363">
              <w:rPr>
                <w:noProof/>
                <w:webHidden/>
              </w:rPr>
              <w:fldChar w:fldCharType="begin"/>
            </w:r>
            <w:r w:rsidR="00FD1363">
              <w:rPr>
                <w:noProof/>
                <w:webHidden/>
              </w:rPr>
              <w:instrText xml:space="preserve"> PAGEREF _Toc503943137 \h </w:instrText>
            </w:r>
            <w:r w:rsidR="00FD1363">
              <w:rPr>
                <w:noProof/>
                <w:webHidden/>
              </w:rPr>
            </w:r>
            <w:r w:rsidR="00FD1363">
              <w:rPr>
                <w:noProof/>
                <w:webHidden/>
              </w:rPr>
              <w:fldChar w:fldCharType="separate"/>
            </w:r>
            <w:r>
              <w:rPr>
                <w:noProof/>
                <w:webHidden/>
              </w:rPr>
              <w:t>34</w:t>
            </w:r>
            <w:r w:rsidR="00FD1363">
              <w:rPr>
                <w:noProof/>
                <w:webHidden/>
              </w:rPr>
              <w:fldChar w:fldCharType="end"/>
            </w:r>
          </w:hyperlink>
        </w:p>
        <w:p w14:paraId="2A1E44AC" w14:textId="68E3E9A7" w:rsidR="00FD1363" w:rsidRDefault="006E30E5">
          <w:pPr>
            <w:pStyle w:val="TOC2"/>
            <w:tabs>
              <w:tab w:val="right" w:leader="dot" w:pos="9628"/>
            </w:tabs>
            <w:rPr>
              <w:rFonts w:eastAsiaTheme="minorEastAsia"/>
              <w:noProof/>
              <w:lang w:val="lt-LT" w:eastAsia="lt-LT"/>
            </w:rPr>
          </w:pPr>
          <w:hyperlink w:anchor="_Toc503943138" w:history="1">
            <w:r w:rsidR="00FD1363" w:rsidRPr="00831725">
              <w:rPr>
                <w:rStyle w:val="Hyperlink"/>
                <w:noProof/>
              </w:rPr>
              <w:t>ARTICLE 5</w:t>
            </w:r>
            <w:r w:rsidR="00FD1363">
              <w:rPr>
                <w:noProof/>
                <w:webHidden/>
              </w:rPr>
              <w:tab/>
            </w:r>
            <w:r w:rsidR="00FD1363">
              <w:rPr>
                <w:noProof/>
                <w:webHidden/>
              </w:rPr>
              <w:fldChar w:fldCharType="begin"/>
            </w:r>
            <w:r w:rsidR="00FD1363">
              <w:rPr>
                <w:noProof/>
                <w:webHidden/>
              </w:rPr>
              <w:instrText xml:space="preserve"> PAGEREF _Toc503943138 \h </w:instrText>
            </w:r>
            <w:r w:rsidR="00FD1363">
              <w:rPr>
                <w:noProof/>
                <w:webHidden/>
              </w:rPr>
            </w:r>
            <w:r w:rsidR="00FD1363">
              <w:rPr>
                <w:noProof/>
                <w:webHidden/>
              </w:rPr>
              <w:fldChar w:fldCharType="separate"/>
            </w:r>
            <w:r>
              <w:rPr>
                <w:noProof/>
                <w:webHidden/>
              </w:rPr>
              <w:t>34</w:t>
            </w:r>
            <w:r w:rsidR="00FD1363">
              <w:rPr>
                <w:noProof/>
                <w:webHidden/>
              </w:rPr>
              <w:fldChar w:fldCharType="end"/>
            </w:r>
          </w:hyperlink>
        </w:p>
        <w:p w14:paraId="663D4842" w14:textId="19ABAFEF" w:rsidR="00FD1363" w:rsidRDefault="006E30E5">
          <w:pPr>
            <w:pStyle w:val="TOC2"/>
            <w:tabs>
              <w:tab w:val="right" w:leader="dot" w:pos="9628"/>
            </w:tabs>
            <w:rPr>
              <w:rFonts w:eastAsiaTheme="minorEastAsia"/>
              <w:noProof/>
              <w:lang w:val="lt-LT" w:eastAsia="lt-LT"/>
            </w:rPr>
          </w:pPr>
          <w:hyperlink w:anchor="_Toc503943139" w:history="1">
            <w:r w:rsidR="00FD1363" w:rsidRPr="00831725">
              <w:rPr>
                <w:rStyle w:val="Hyperlink"/>
                <w:noProof/>
              </w:rPr>
              <w:t>ARTICLE 6</w:t>
            </w:r>
            <w:r w:rsidR="00FD1363">
              <w:rPr>
                <w:noProof/>
                <w:webHidden/>
              </w:rPr>
              <w:tab/>
            </w:r>
            <w:r w:rsidR="00FD1363">
              <w:rPr>
                <w:noProof/>
                <w:webHidden/>
              </w:rPr>
              <w:fldChar w:fldCharType="begin"/>
            </w:r>
            <w:r w:rsidR="00FD1363">
              <w:rPr>
                <w:noProof/>
                <w:webHidden/>
              </w:rPr>
              <w:instrText xml:space="preserve"> PAGEREF _Toc503943139 \h </w:instrText>
            </w:r>
            <w:r w:rsidR="00FD1363">
              <w:rPr>
                <w:noProof/>
                <w:webHidden/>
              </w:rPr>
            </w:r>
            <w:r w:rsidR="00FD1363">
              <w:rPr>
                <w:noProof/>
                <w:webHidden/>
              </w:rPr>
              <w:fldChar w:fldCharType="separate"/>
            </w:r>
            <w:r>
              <w:rPr>
                <w:noProof/>
                <w:webHidden/>
              </w:rPr>
              <w:t>36</w:t>
            </w:r>
            <w:r w:rsidR="00FD1363">
              <w:rPr>
                <w:noProof/>
                <w:webHidden/>
              </w:rPr>
              <w:fldChar w:fldCharType="end"/>
            </w:r>
          </w:hyperlink>
        </w:p>
        <w:p w14:paraId="5809FAA5" w14:textId="188F2224" w:rsidR="00FD1363" w:rsidRDefault="006E30E5">
          <w:pPr>
            <w:pStyle w:val="TOC2"/>
            <w:tabs>
              <w:tab w:val="right" w:leader="dot" w:pos="9628"/>
            </w:tabs>
            <w:rPr>
              <w:rFonts w:eastAsiaTheme="minorEastAsia"/>
              <w:noProof/>
              <w:lang w:val="lt-LT" w:eastAsia="lt-LT"/>
            </w:rPr>
          </w:pPr>
          <w:hyperlink w:anchor="_Toc503943140" w:history="1">
            <w:r w:rsidR="00FD1363" w:rsidRPr="00831725">
              <w:rPr>
                <w:rStyle w:val="Hyperlink"/>
                <w:noProof/>
              </w:rPr>
              <w:t>ARTICLE 7</w:t>
            </w:r>
            <w:r w:rsidR="00FD1363">
              <w:rPr>
                <w:noProof/>
                <w:webHidden/>
              </w:rPr>
              <w:tab/>
            </w:r>
            <w:r w:rsidR="00FD1363">
              <w:rPr>
                <w:noProof/>
                <w:webHidden/>
              </w:rPr>
              <w:fldChar w:fldCharType="begin"/>
            </w:r>
            <w:r w:rsidR="00FD1363">
              <w:rPr>
                <w:noProof/>
                <w:webHidden/>
              </w:rPr>
              <w:instrText xml:space="preserve"> PAGEREF _Toc503943140 \h </w:instrText>
            </w:r>
            <w:r w:rsidR="00FD1363">
              <w:rPr>
                <w:noProof/>
                <w:webHidden/>
              </w:rPr>
            </w:r>
            <w:r w:rsidR="00FD1363">
              <w:rPr>
                <w:noProof/>
                <w:webHidden/>
              </w:rPr>
              <w:fldChar w:fldCharType="separate"/>
            </w:r>
            <w:r>
              <w:rPr>
                <w:noProof/>
                <w:webHidden/>
              </w:rPr>
              <w:t>37</w:t>
            </w:r>
            <w:r w:rsidR="00FD1363">
              <w:rPr>
                <w:noProof/>
                <w:webHidden/>
              </w:rPr>
              <w:fldChar w:fldCharType="end"/>
            </w:r>
          </w:hyperlink>
        </w:p>
        <w:p w14:paraId="0665862F" w14:textId="657479AB" w:rsidR="00742FA3" w:rsidRPr="00A75E02" w:rsidRDefault="00742FA3">
          <w:r w:rsidRPr="00A75E02">
            <w:rPr>
              <w:rFonts w:ascii="Times New Roman" w:hAnsi="Times New Roman" w:cs="Times New Roman"/>
              <w:b/>
              <w:bCs/>
              <w:sz w:val="24"/>
              <w:szCs w:val="24"/>
            </w:rPr>
            <w:fldChar w:fldCharType="end"/>
          </w:r>
        </w:p>
      </w:sdtContent>
    </w:sdt>
    <w:p w14:paraId="7FD96128" w14:textId="77777777" w:rsidR="00E37752" w:rsidRPr="00A75E02" w:rsidRDefault="00E37752" w:rsidP="00742FA3">
      <w:pPr>
        <w:pStyle w:val="Heading1"/>
      </w:pPr>
    </w:p>
    <w:p w14:paraId="5171428D" w14:textId="77777777" w:rsidR="00E37752" w:rsidRPr="00A75E02" w:rsidRDefault="00E37752">
      <w:pPr>
        <w:spacing w:after="160" w:line="259" w:lineRule="auto"/>
        <w:rPr>
          <w:rFonts w:ascii="Times New Roman" w:eastAsiaTheme="majorEastAsia" w:hAnsi="Times New Roman" w:cstheme="majorBidi"/>
          <w:b/>
          <w:sz w:val="24"/>
          <w:szCs w:val="32"/>
        </w:rPr>
      </w:pPr>
      <w:r w:rsidRPr="00A75E02">
        <w:br w:type="page"/>
      </w:r>
    </w:p>
    <w:p w14:paraId="0113015B" w14:textId="77777777" w:rsidR="00226A34" w:rsidRPr="00A75E02" w:rsidRDefault="00134BE6" w:rsidP="00742FA3">
      <w:pPr>
        <w:pStyle w:val="Heading1"/>
      </w:pPr>
      <w:bookmarkStart w:id="0" w:name="_Toc503943131"/>
      <w:r w:rsidRPr="00A75E02">
        <w:lastRenderedPageBreak/>
        <w:t>ABBREVIATIONS:</w:t>
      </w:r>
      <w:bookmarkEnd w:id="0"/>
    </w:p>
    <w:p w14:paraId="5127A346" w14:textId="77777777" w:rsidR="00134BE6" w:rsidRPr="00A75E02" w:rsidRDefault="00134BE6" w:rsidP="00742FA3">
      <w:pPr>
        <w:spacing w:before="100" w:beforeAutospacing="1" w:after="100" w:afterAutospacing="1" w:line="240" w:lineRule="auto"/>
        <w:contextualSpacing/>
        <w:jc w:val="both"/>
        <w:rPr>
          <w:rFonts w:ascii="Times New Roman" w:hAnsi="Times New Roman" w:cs="Times New Roman"/>
          <w:b/>
          <w:sz w:val="24"/>
          <w:szCs w:val="24"/>
        </w:rPr>
      </w:pPr>
    </w:p>
    <w:p w14:paraId="78AF9C81"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 xml:space="preserve">PG – Prosecutor General </w:t>
      </w:r>
    </w:p>
    <w:p w14:paraId="0413F1A2"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OEOO –</w:t>
      </w:r>
      <w:r w:rsidR="007567F6">
        <w:rPr>
          <w:rFonts w:ascii="Times New Roman" w:hAnsi="Times New Roman"/>
          <w:b/>
          <w:sz w:val="24"/>
          <w:szCs w:val="24"/>
        </w:rPr>
        <w:t xml:space="preserve"> </w:t>
      </w:r>
      <w:r w:rsidRPr="00A75E02">
        <w:rPr>
          <w:rFonts w:ascii="Times New Roman" w:hAnsi="Times New Roman"/>
          <w:b/>
          <w:sz w:val="24"/>
          <w:szCs w:val="24"/>
        </w:rPr>
        <w:t>Office of t</w:t>
      </w:r>
      <w:r w:rsidR="00B25937" w:rsidRPr="00A75E02">
        <w:rPr>
          <w:rFonts w:ascii="Times New Roman" w:hAnsi="Times New Roman"/>
          <w:b/>
          <w:sz w:val="24"/>
          <w:szCs w:val="24"/>
        </w:rPr>
        <w:t>he Equal Opportunities Ombudsperson</w:t>
      </w:r>
      <w:r w:rsidRPr="00A75E02">
        <w:rPr>
          <w:rFonts w:ascii="Times New Roman" w:hAnsi="Times New Roman"/>
          <w:b/>
          <w:sz w:val="24"/>
          <w:szCs w:val="24"/>
        </w:rPr>
        <w:t xml:space="preserve"> </w:t>
      </w:r>
    </w:p>
    <w:p w14:paraId="0C299591"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NCA – National Courts Administration</w:t>
      </w:r>
    </w:p>
    <w:p w14:paraId="325B9A9E"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proofErr w:type="spellStart"/>
      <w:r w:rsidRPr="00A75E02">
        <w:rPr>
          <w:rFonts w:ascii="Times New Roman" w:hAnsi="Times New Roman"/>
          <w:b/>
          <w:sz w:val="24"/>
          <w:szCs w:val="24"/>
        </w:rPr>
        <w:t>MoSSL</w:t>
      </w:r>
      <w:proofErr w:type="spellEnd"/>
      <w:r w:rsidRPr="00A75E02">
        <w:rPr>
          <w:rFonts w:ascii="Times New Roman" w:hAnsi="Times New Roman"/>
          <w:b/>
          <w:sz w:val="24"/>
          <w:szCs w:val="24"/>
        </w:rPr>
        <w:t xml:space="preserve"> – Ministry of Social Security and Labour </w:t>
      </w:r>
    </w:p>
    <w:p w14:paraId="7F47690D"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 xml:space="preserve">SOO – </w:t>
      </w:r>
      <w:proofErr w:type="spellStart"/>
      <w:r w:rsidRPr="00A75E02">
        <w:rPr>
          <w:rFonts w:ascii="Times New Roman" w:hAnsi="Times New Roman"/>
          <w:b/>
          <w:sz w:val="24"/>
          <w:szCs w:val="24"/>
        </w:rPr>
        <w:t>Seimas</w:t>
      </w:r>
      <w:proofErr w:type="spellEnd"/>
      <w:r w:rsidRPr="00A75E02">
        <w:rPr>
          <w:rFonts w:ascii="Times New Roman" w:hAnsi="Times New Roman"/>
          <w:b/>
          <w:sz w:val="24"/>
          <w:szCs w:val="24"/>
        </w:rPr>
        <w:t xml:space="preserve"> Ombudsmen’s Office</w:t>
      </w:r>
    </w:p>
    <w:p w14:paraId="719606C4"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proofErr w:type="spellStart"/>
      <w:r w:rsidRPr="00A75E02">
        <w:rPr>
          <w:rFonts w:ascii="Times New Roman" w:hAnsi="Times New Roman"/>
          <w:b/>
          <w:sz w:val="24"/>
          <w:szCs w:val="24"/>
        </w:rPr>
        <w:t>MoSE</w:t>
      </w:r>
      <w:proofErr w:type="spellEnd"/>
      <w:r w:rsidRPr="00A75E02">
        <w:rPr>
          <w:rFonts w:ascii="Times New Roman" w:hAnsi="Times New Roman"/>
          <w:b/>
          <w:sz w:val="24"/>
          <w:szCs w:val="24"/>
        </w:rPr>
        <w:t xml:space="preserve"> – Ministry of Science and Education </w:t>
      </w:r>
    </w:p>
    <w:p w14:paraId="238E6E89"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proofErr w:type="spellStart"/>
      <w:r w:rsidRPr="00A75E02">
        <w:rPr>
          <w:rFonts w:ascii="Times New Roman" w:hAnsi="Times New Roman"/>
          <w:b/>
          <w:sz w:val="24"/>
          <w:szCs w:val="24"/>
        </w:rPr>
        <w:t>MoJ</w:t>
      </w:r>
      <w:proofErr w:type="spellEnd"/>
      <w:r w:rsidRPr="00A75E02">
        <w:rPr>
          <w:rFonts w:ascii="Times New Roman" w:hAnsi="Times New Roman"/>
          <w:b/>
          <w:sz w:val="24"/>
          <w:szCs w:val="24"/>
        </w:rPr>
        <w:t xml:space="preserve"> – Ministry of Justice </w:t>
      </w:r>
    </w:p>
    <w:p w14:paraId="2A3355D0"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NMD – National Minorities Department under the Government of the Republic of Lithuania</w:t>
      </w:r>
    </w:p>
    <w:p w14:paraId="0E6FD073"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 xml:space="preserve">MI – Ministry of Interior </w:t>
      </w:r>
    </w:p>
    <w:p w14:paraId="729C94FB" w14:textId="77777777" w:rsidR="00EF58FA" w:rsidRPr="00A75E02" w:rsidRDefault="00EF58FA"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OIJE –</w:t>
      </w:r>
      <w:r w:rsidR="007567F6">
        <w:rPr>
          <w:rFonts w:ascii="Times New Roman" w:hAnsi="Times New Roman"/>
          <w:b/>
          <w:sz w:val="24"/>
          <w:szCs w:val="24"/>
        </w:rPr>
        <w:t xml:space="preserve"> </w:t>
      </w:r>
      <w:r w:rsidRPr="00A75E02">
        <w:rPr>
          <w:rFonts w:ascii="Times New Roman" w:hAnsi="Times New Roman"/>
          <w:b/>
          <w:sz w:val="24"/>
          <w:szCs w:val="24"/>
        </w:rPr>
        <w:t xml:space="preserve">Office of the Inspector of Journalist Ethics </w:t>
      </w:r>
    </w:p>
    <w:p w14:paraId="7C0C4CC7" w14:textId="77777777" w:rsidR="00956118" w:rsidRPr="00A75E02" w:rsidRDefault="00956118" w:rsidP="00742FA3">
      <w:pPr>
        <w:spacing w:before="100" w:beforeAutospacing="1" w:after="100" w:afterAutospacing="1" w:line="240" w:lineRule="auto"/>
        <w:contextualSpacing/>
        <w:jc w:val="both"/>
        <w:rPr>
          <w:rFonts w:ascii="Times New Roman" w:hAnsi="Times New Roman" w:cs="Times New Roman"/>
          <w:sz w:val="24"/>
          <w:szCs w:val="24"/>
        </w:rPr>
      </w:pPr>
    </w:p>
    <w:p w14:paraId="7EEA6833"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CC – Criminal Code of the Republic of Lithuania</w:t>
      </w:r>
    </w:p>
    <w:p w14:paraId="01AC5AC0"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CCP – Code of Criminal Procedure of the Republic of Lithuania</w:t>
      </w:r>
    </w:p>
    <w:p w14:paraId="4C2232B8"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Committee – UN Committee on the Elimination of Racial Discrimination</w:t>
      </w:r>
    </w:p>
    <w:p w14:paraId="570094D0"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Convention – Convention on the Elimination of All Forms of Racial Discrimination</w:t>
      </w:r>
    </w:p>
    <w:p w14:paraId="4C59C37B"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MSL – minimum subsistence level</w:t>
      </w:r>
      <w:bookmarkStart w:id="1" w:name="_GoBack"/>
      <w:bookmarkEnd w:id="1"/>
    </w:p>
    <w:p w14:paraId="2AAD304F"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NGO – non-governmental organisation</w:t>
      </w:r>
    </w:p>
    <w:p w14:paraId="51230C62"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RCR – Reception Centre for Refugees</w:t>
      </w:r>
    </w:p>
    <w:p w14:paraId="489EE298"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TAHCLE – Training against Hate Crimes for Law Enforcement</w:t>
      </w:r>
    </w:p>
    <w:p w14:paraId="1267B6A4"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Council –</w:t>
      </w:r>
      <w:r w:rsidR="001C3D5D" w:rsidRPr="00A75E02">
        <w:rPr>
          <w:rFonts w:ascii="Times New Roman" w:hAnsi="Times New Roman"/>
          <w:b/>
          <w:sz w:val="24"/>
          <w:szCs w:val="24"/>
        </w:rPr>
        <w:t xml:space="preserve"> </w:t>
      </w:r>
      <w:r w:rsidRPr="00A75E02">
        <w:rPr>
          <w:rFonts w:ascii="Times New Roman" w:hAnsi="Times New Roman"/>
          <w:b/>
          <w:sz w:val="24"/>
          <w:szCs w:val="24"/>
        </w:rPr>
        <w:t xml:space="preserve">Council </w:t>
      </w:r>
      <w:r w:rsidR="001C3D5D" w:rsidRPr="00A75E02">
        <w:rPr>
          <w:rFonts w:ascii="Times New Roman" w:hAnsi="Times New Roman"/>
          <w:b/>
          <w:sz w:val="24"/>
          <w:szCs w:val="24"/>
        </w:rPr>
        <w:t>of National Communities</w:t>
      </w:r>
    </w:p>
    <w:p w14:paraId="2FD667C1" w14:textId="77777777" w:rsidR="00CC7286" w:rsidRPr="00A75E02" w:rsidRDefault="00CC7286" w:rsidP="00742FA3">
      <w:pPr>
        <w:spacing w:before="100" w:beforeAutospacing="1" w:after="100" w:afterAutospacing="1" w:line="240" w:lineRule="auto"/>
        <w:contextualSpacing/>
        <w:jc w:val="both"/>
        <w:rPr>
          <w:rFonts w:ascii="Times New Roman" w:hAnsi="Times New Roman" w:cs="Times New Roman"/>
          <w:b/>
          <w:sz w:val="24"/>
          <w:szCs w:val="24"/>
        </w:rPr>
      </w:pPr>
      <w:r w:rsidRPr="00A75E02">
        <w:rPr>
          <w:rFonts w:ascii="Times New Roman" w:hAnsi="Times New Roman"/>
          <w:b/>
          <w:sz w:val="24"/>
          <w:szCs w:val="24"/>
        </w:rPr>
        <w:t>FRC – Foreigners</w:t>
      </w:r>
      <w:r w:rsidR="00D730F7" w:rsidRPr="00A75E02">
        <w:rPr>
          <w:rFonts w:ascii="Times New Roman" w:hAnsi="Times New Roman"/>
          <w:b/>
          <w:sz w:val="24"/>
          <w:szCs w:val="24"/>
        </w:rPr>
        <w:t>’</w:t>
      </w:r>
      <w:r w:rsidRPr="00A75E02">
        <w:rPr>
          <w:rFonts w:ascii="Times New Roman" w:hAnsi="Times New Roman"/>
          <w:b/>
          <w:sz w:val="24"/>
          <w:szCs w:val="24"/>
        </w:rPr>
        <w:t xml:space="preserve"> Registration Centre</w:t>
      </w:r>
    </w:p>
    <w:p w14:paraId="4F57171A" w14:textId="77777777" w:rsidR="00E37752" w:rsidRPr="00A75E02" w:rsidRDefault="00E37752">
      <w:pPr>
        <w:spacing w:after="160" w:line="259" w:lineRule="auto"/>
        <w:rPr>
          <w:rFonts w:ascii="Times New Roman" w:eastAsiaTheme="majorEastAsia" w:hAnsi="Times New Roman" w:cstheme="majorBidi"/>
          <w:b/>
          <w:sz w:val="24"/>
          <w:szCs w:val="32"/>
        </w:rPr>
      </w:pPr>
      <w:r w:rsidRPr="00A75E02">
        <w:br w:type="page"/>
      </w:r>
    </w:p>
    <w:p w14:paraId="5B1E1EEE" w14:textId="77777777" w:rsidR="002132B8" w:rsidRPr="00A75E02" w:rsidRDefault="00247B9F" w:rsidP="00742FA3">
      <w:pPr>
        <w:pStyle w:val="Heading1"/>
        <w:numPr>
          <w:ilvl w:val="0"/>
          <w:numId w:val="4"/>
        </w:numPr>
      </w:pPr>
      <w:bookmarkStart w:id="2" w:name="_Toc503943132"/>
      <w:r w:rsidRPr="00A75E02">
        <w:lastRenderedPageBreak/>
        <w:t>INTRODUCTION</w:t>
      </w:r>
      <w:bookmarkEnd w:id="2"/>
    </w:p>
    <w:p w14:paraId="2D956C2D" w14:textId="77777777" w:rsidR="00134BE6" w:rsidRPr="00A75E02" w:rsidRDefault="00956118"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1. The Government of the Republic of Lithuania hereby submits the combined ninth and tenth periodic report under Article 9 of the International Convention on the Elimination of all </w:t>
      </w:r>
      <w:r w:rsidR="0024602C" w:rsidRPr="00A75E02">
        <w:rPr>
          <w:rFonts w:ascii="Times New Roman" w:hAnsi="Times New Roman"/>
          <w:sz w:val="24"/>
          <w:szCs w:val="24"/>
        </w:rPr>
        <w:t>F</w:t>
      </w:r>
      <w:r w:rsidRPr="00A75E02">
        <w:rPr>
          <w:rFonts w:ascii="Times New Roman" w:hAnsi="Times New Roman"/>
          <w:sz w:val="24"/>
          <w:szCs w:val="24"/>
        </w:rPr>
        <w:t xml:space="preserve">orms of Racial Discrimination (hereinafter referred to as the Convention). The report provides an overview of the progress made by the Republic of Lithuania as regards the implementation of the provisions of the Convention, following the sixth, seventh and eighth periodic report of Lithuania. </w:t>
      </w:r>
    </w:p>
    <w:p w14:paraId="5863BA69" w14:textId="2A621E42" w:rsidR="00134BE6" w:rsidRPr="00A75E02" w:rsidRDefault="00956118"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2. The report </w:t>
      </w:r>
      <w:proofErr w:type="gramStart"/>
      <w:r w:rsidRPr="00A75E02">
        <w:rPr>
          <w:rFonts w:ascii="Times New Roman" w:hAnsi="Times New Roman"/>
          <w:sz w:val="24"/>
          <w:szCs w:val="24"/>
        </w:rPr>
        <w:t>has been drawn up</w:t>
      </w:r>
      <w:proofErr w:type="gramEnd"/>
      <w:r w:rsidRPr="00A75E02">
        <w:rPr>
          <w:rFonts w:ascii="Times New Roman" w:hAnsi="Times New Roman"/>
          <w:sz w:val="24"/>
          <w:szCs w:val="24"/>
        </w:rPr>
        <w:t xml:space="preserve"> in accordance with the guidelines and general recommendations regarding the preparation of the reports, approved by the United Nations Committee on the Elimination of Racial Discrimination (hereinafter</w:t>
      </w:r>
      <w:r w:rsidR="0057474A" w:rsidRPr="00A75E02">
        <w:rPr>
          <w:rFonts w:ascii="Times New Roman" w:hAnsi="Times New Roman"/>
          <w:sz w:val="24"/>
          <w:szCs w:val="24"/>
        </w:rPr>
        <w:t xml:space="preserve"> referred to as the Committee).</w:t>
      </w:r>
      <w:r w:rsidRPr="00A75E02">
        <w:rPr>
          <w:rFonts w:ascii="Times New Roman" w:hAnsi="Times New Roman"/>
          <w:sz w:val="24"/>
          <w:szCs w:val="24"/>
        </w:rPr>
        <w:t xml:space="preserve"> During the preparation of the report, due regard has been paid to the Committee’s concluding observations on Lithuania’s sixth, seventh and eighth periodic reports, approved by the Committee at its 88</w:t>
      </w:r>
      <w:r w:rsidRPr="00A75E02">
        <w:rPr>
          <w:rFonts w:ascii="Times New Roman" w:hAnsi="Times New Roman"/>
          <w:sz w:val="24"/>
          <w:szCs w:val="24"/>
          <w:vertAlign w:val="superscript"/>
        </w:rPr>
        <w:t xml:space="preserve">th </w:t>
      </w:r>
      <w:r w:rsidRPr="00A75E02">
        <w:rPr>
          <w:rFonts w:ascii="Times New Roman" w:hAnsi="Times New Roman"/>
          <w:sz w:val="24"/>
          <w:szCs w:val="24"/>
        </w:rPr>
        <w:t xml:space="preserve">session on 7-8 December of 2015 (CERD/C/LTU/CO/6-8). During the preparation of the report, due regard has also been paid to Lithuania’s report on the implementation of the recommendations provided in paragraph 39 of the concluding observations. The Committee’s </w:t>
      </w:r>
      <w:r w:rsidR="006A1C5A">
        <w:rPr>
          <w:rFonts w:ascii="Times New Roman" w:hAnsi="Times New Roman"/>
          <w:sz w:val="24"/>
          <w:szCs w:val="24"/>
        </w:rPr>
        <w:t xml:space="preserve">Note </w:t>
      </w:r>
      <w:proofErr w:type="spellStart"/>
      <w:r w:rsidR="006A1C5A">
        <w:rPr>
          <w:rFonts w:ascii="Times New Roman" w:hAnsi="Times New Roman"/>
          <w:sz w:val="24"/>
          <w:szCs w:val="24"/>
        </w:rPr>
        <w:t>Verbale</w:t>
      </w:r>
      <w:proofErr w:type="spellEnd"/>
      <w:r w:rsidRPr="00A75E02">
        <w:rPr>
          <w:rFonts w:ascii="Times New Roman" w:hAnsi="Times New Roman"/>
          <w:sz w:val="24"/>
          <w:szCs w:val="24"/>
        </w:rPr>
        <w:t xml:space="preserve"> (CERD/92nd/FU/GH/HH/</w:t>
      </w:r>
      <w:proofErr w:type="spellStart"/>
      <w:r w:rsidRPr="00A75E02">
        <w:rPr>
          <w:rFonts w:ascii="Times New Roman" w:hAnsi="Times New Roman"/>
          <w:sz w:val="24"/>
          <w:szCs w:val="24"/>
        </w:rPr>
        <w:t>ks</w:t>
      </w:r>
      <w:proofErr w:type="spellEnd"/>
      <w:r w:rsidRPr="00A75E02">
        <w:rPr>
          <w:rFonts w:ascii="Times New Roman" w:hAnsi="Times New Roman"/>
          <w:sz w:val="24"/>
          <w:szCs w:val="24"/>
        </w:rPr>
        <w:t>) asking for additional information was examined and due regard has been paid to additional questions.</w:t>
      </w:r>
    </w:p>
    <w:p w14:paraId="04F3339A" w14:textId="77777777" w:rsidR="002132B8" w:rsidRPr="00A75E02" w:rsidRDefault="002132B8" w:rsidP="00742FA3">
      <w:pPr>
        <w:pStyle w:val="Heading1"/>
      </w:pPr>
      <w:bookmarkStart w:id="3" w:name="_Toc503943133"/>
      <w:r w:rsidRPr="00A75E02">
        <w:t>II. INFORMATION ON THE IMPLEMENTATION OF RECOMMENDATIONS OF THE COMMITTEE</w:t>
      </w:r>
      <w:bookmarkEnd w:id="3"/>
    </w:p>
    <w:p w14:paraId="010F4C2D" w14:textId="47C21154" w:rsidR="00D454F4" w:rsidRPr="00A75E02" w:rsidRDefault="00956118"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3. The </w:t>
      </w:r>
      <w:r w:rsidR="00442314" w:rsidRPr="00A75E02">
        <w:rPr>
          <w:rFonts w:ascii="Times New Roman" w:hAnsi="Times New Roman"/>
          <w:sz w:val="24"/>
          <w:szCs w:val="24"/>
        </w:rPr>
        <w:t>r</w:t>
      </w:r>
      <w:r w:rsidRPr="00A75E02">
        <w:rPr>
          <w:rFonts w:ascii="Times New Roman" w:hAnsi="Times New Roman"/>
          <w:sz w:val="24"/>
          <w:szCs w:val="24"/>
        </w:rPr>
        <w:t xml:space="preserve">eport refers to information in relation to Committee’s recommendations provided in the Committee’s concluding observations on Lithuania’s sixth, seventh and eighth periodic report (CERD/C/LTU/CO/6-8). When responding to recommendations provided in paragraphs 7, 27, 31 and 36 of the Committee’s concluding observations, due regard was taken of the Committee’s </w:t>
      </w:r>
      <w:r w:rsidR="00E101A9">
        <w:rPr>
          <w:rFonts w:ascii="Times New Roman" w:hAnsi="Times New Roman"/>
          <w:sz w:val="24"/>
          <w:szCs w:val="24"/>
        </w:rPr>
        <w:t xml:space="preserve">Note </w:t>
      </w:r>
      <w:proofErr w:type="spellStart"/>
      <w:r w:rsidR="00E101A9">
        <w:rPr>
          <w:rFonts w:ascii="Times New Roman" w:hAnsi="Times New Roman"/>
          <w:sz w:val="24"/>
          <w:szCs w:val="24"/>
        </w:rPr>
        <w:t>Verbale</w:t>
      </w:r>
      <w:proofErr w:type="spellEnd"/>
      <w:r w:rsidR="00E33886">
        <w:rPr>
          <w:rFonts w:ascii="Times New Roman" w:hAnsi="Times New Roman"/>
          <w:sz w:val="24"/>
          <w:szCs w:val="24"/>
        </w:rPr>
        <w:t xml:space="preserve"> </w:t>
      </w:r>
      <w:r w:rsidRPr="00A75E02">
        <w:rPr>
          <w:rFonts w:ascii="Times New Roman" w:hAnsi="Times New Roman"/>
          <w:sz w:val="24"/>
          <w:szCs w:val="24"/>
        </w:rPr>
        <w:t>(CERD/92nd/FU/GH/HH/</w:t>
      </w:r>
      <w:proofErr w:type="spellStart"/>
      <w:r w:rsidRPr="00A75E02">
        <w:rPr>
          <w:rFonts w:ascii="Times New Roman" w:hAnsi="Times New Roman"/>
          <w:sz w:val="24"/>
          <w:szCs w:val="24"/>
        </w:rPr>
        <w:t>ks</w:t>
      </w:r>
      <w:proofErr w:type="spellEnd"/>
      <w:r w:rsidRPr="00A75E02">
        <w:rPr>
          <w:rFonts w:ascii="Times New Roman" w:hAnsi="Times New Roman"/>
          <w:sz w:val="24"/>
          <w:szCs w:val="24"/>
        </w:rPr>
        <w:t xml:space="preserve">) requesting additional information on the implementation of the recommendations. </w:t>
      </w:r>
    </w:p>
    <w:p w14:paraId="42EA1AC9" w14:textId="77777777" w:rsidR="00945618" w:rsidRPr="00A75E02" w:rsidRDefault="00D454F4"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The Committee recommends that the State incorporate all grounds for discrimination in to the definition of racial discrimination contained in its legislation, in compliance with article 1 of the Convention.</w:t>
      </w:r>
    </w:p>
    <w:p w14:paraId="2A1272F4" w14:textId="77777777" w:rsidR="00677A68" w:rsidRPr="00A75E02" w:rsidRDefault="00956118" w:rsidP="00677A68">
      <w:pPr>
        <w:suppressAutoHyphens/>
        <w:spacing w:before="100" w:beforeAutospacing="1" w:after="100" w:afterAutospacing="1" w:line="240" w:lineRule="auto"/>
        <w:jc w:val="both"/>
        <w:rPr>
          <w:rFonts w:ascii="Times New Roman" w:eastAsia="Times New Roman" w:hAnsi="Times New Roman" w:cs="Times New Roman"/>
          <w:bCs/>
          <w:sz w:val="24"/>
          <w:szCs w:val="24"/>
        </w:rPr>
      </w:pPr>
      <w:r w:rsidRPr="00A75E02">
        <w:rPr>
          <w:rFonts w:ascii="Times New Roman" w:hAnsi="Times New Roman"/>
          <w:bCs/>
          <w:sz w:val="24"/>
          <w:szCs w:val="24"/>
        </w:rPr>
        <w:t xml:space="preserve">4. </w:t>
      </w:r>
      <w:r w:rsidR="00827670" w:rsidRPr="00A75E02">
        <w:rPr>
          <w:rFonts w:ascii="Times New Roman" w:hAnsi="Times New Roman"/>
          <w:bCs/>
          <w:sz w:val="24"/>
          <w:szCs w:val="24"/>
        </w:rPr>
        <w:t xml:space="preserve">The </w:t>
      </w:r>
      <w:r w:rsidRPr="00A75E02">
        <w:rPr>
          <w:rFonts w:ascii="Times New Roman" w:hAnsi="Times New Roman"/>
          <w:bCs/>
          <w:sz w:val="24"/>
          <w:szCs w:val="24"/>
        </w:rPr>
        <w:t xml:space="preserve">Law on Equal Treatment of the Republic of Lithuania is the main legal </w:t>
      </w:r>
      <w:proofErr w:type="gramStart"/>
      <w:r w:rsidRPr="00A75E02">
        <w:rPr>
          <w:rFonts w:ascii="Times New Roman" w:hAnsi="Times New Roman"/>
          <w:bCs/>
          <w:sz w:val="24"/>
          <w:szCs w:val="24"/>
        </w:rPr>
        <w:t>act which</w:t>
      </w:r>
      <w:proofErr w:type="gramEnd"/>
      <w:r w:rsidRPr="00A75E02">
        <w:rPr>
          <w:rFonts w:ascii="Times New Roman" w:hAnsi="Times New Roman"/>
          <w:bCs/>
          <w:sz w:val="24"/>
          <w:szCs w:val="24"/>
        </w:rPr>
        <w:t xml:space="preserve"> prohibits direct or indirect discrimination on the grounds of gender, race, nationality, citizenship, language, origin, social status, belief, convictions or views, age, sexual orientation, disability, ethnic origin</w:t>
      </w:r>
      <w:r w:rsidR="00E65957" w:rsidRPr="00A75E02">
        <w:rPr>
          <w:rFonts w:ascii="Times New Roman" w:hAnsi="Times New Roman"/>
          <w:bCs/>
          <w:sz w:val="24"/>
          <w:szCs w:val="24"/>
        </w:rPr>
        <w:t xml:space="preserve"> and</w:t>
      </w:r>
      <w:r w:rsidRPr="00A75E02">
        <w:rPr>
          <w:rFonts w:ascii="Times New Roman" w:hAnsi="Times New Roman"/>
          <w:bCs/>
          <w:sz w:val="24"/>
          <w:szCs w:val="24"/>
        </w:rPr>
        <w:t xml:space="preserve"> religion. The </w:t>
      </w:r>
      <w:proofErr w:type="gramStart"/>
      <w:r w:rsidRPr="00A75E02">
        <w:rPr>
          <w:rFonts w:ascii="Times New Roman" w:hAnsi="Times New Roman"/>
          <w:bCs/>
          <w:sz w:val="24"/>
          <w:szCs w:val="24"/>
        </w:rPr>
        <w:t xml:space="preserve">implementation of legislation establishing the principle of non-discrimination and equal </w:t>
      </w:r>
      <w:r w:rsidR="00521C75" w:rsidRPr="00A75E02">
        <w:rPr>
          <w:rFonts w:ascii="Times New Roman" w:hAnsi="Times New Roman"/>
          <w:bCs/>
          <w:sz w:val="24"/>
          <w:szCs w:val="24"/>
        </w:rPr>
        <w:t>treatment</w:t>
      </w:r>
      <w:r w:rsidRPr="00A75E02">
        <w:rPr>
          <w:rFonts w:ascii="Times New Roman" w:hAnsi="Times New Roman"/>
          <w:bCs/>
          <w:sz w:val="24"/>
          <w:szCs w:val="24"/>
        </w:rPr>
        <w:t xml:space="preserve"> is ensured by the </w:t>
      </w:r>
      <w:r w:rsidRPr="006B2036">
        <w:rPr>
          <w:rFonts w:ascii="Times New Roman" w:hAnsi="Times New Roman"/>
          <w:bCs/>
          <w:sz w:val="24"/>
          <w:szCs w:val="24"/>
        </w:rPr>
        <w:t>Non-discrimination</w:t>
      </w:r>
      <w:r w:rsidR="0057474A" w:rsidRPr="006B2036">
        <w:rPr>
          <w:rFonts w:ascii="Times New Roman" w:hAnsi="Times New Roman"/>
          <w:bCs/>
          <w:sz w:val="24"/>
          <w:szCs w:val="24"/>
        </w:rPr>
        <w:t xml:space="preserve"> Promotion Action Plan</w:t>
      </w:r>
      <w:proofErr w:type="gramEnd"/>
      <w:r w:rsidR="0057474A" w:rsidRPr="00A75E02">
        <w:rPr>
          <w:rFonts w:ascii="Times New Roman" w:hAnsi="Times New Roman"/>
          <w:bCs/>
          <w:sz w:val="24"/>
          <w:szCs w:val="24"/>
        </w:rPr>
        <w:t xml:space="preserve"> for 2017-</w:t>
      </w:r>
      <w:r w:rsidRPr="00A75E02">
        <w:rPr>
          <w:rFonts w:ascii="Times New Roman" w:hAnsi="Times New Roman"/>
          <w:bCs/>
          <w:sz w:val="24"/>
          <w:szCs w:val="24"/>
        </w:rPr>
        <w:t xml:space="preserve">2019 coordinated by the Ministry of Social Security and Labour of the Republic of Lithuania. This plan contains 21 measure aimed at reducing discrimination, improving legal regulation in order to ensure equal treatment on the basis of framework established by the Law on Equal Treatment as well as aimed at promoting non-discrimination and tolerance. </w:t>
      </w:r>
      <w:r w:rsidR="00936531" w:rsidRPr="00A75E02">
        <w:rPr>
          <w:rFonts w:ascii="Times New Roman" w:hAnsi="Times New Roman"/>
          <w:bCs/>
          <w:sz w:val="24"/>
          <w:szCs w:val="24"/>
        </w:rPr>
        <w:t>These m</w:t>
      </w:r>
      <w:r w:rsidRPr="00A75E02">
        <w:rPr>
          <w:rFonts w:ascii="Times New Roman" w:hAnsi="Times New Roman"/>
          <w:bCs/>
          <w:sz w:val="24"/>
          <w:szCs w:val="24"/>
        </w:rPr>
        <w:t xml:space="preserve">easures </w:t>
      </w:r>
      <w:proofErr w:type="gramStart"/>
      <w:r w:rsidRPr="00A75E02">
        <w:rPr>
          <w:rFonts w:ascii="Times New Roman" w:hAnsi="Times New Roman"/>
          <w:bCs/>
          <w:sz w:val="24"/>
          <w:szCs w:val="24"/>
        </w:rPr>
        <w:t>are financed</w:t>
      </w:r>
      <w:proofErr w:type="gramEnd"/>
      <w:r w:rsidRPr="00A75E02">
        <w:rPr>
          <w:rFonts w:ascii="Times New Roman" w:hAnsi="Times New Roman"/>
          <w:bCs/>
          <w:sz w:val="24"/>
          <w:szCs w:val="24"/>
        </w:rPr>
        <w:t xml:space="preserve"> by funds from the State budget and European Union support funds. Measures included in the plan will be implemented by the Ministry of Social Security and Labour, Ministry of Science and Education, Office of the Equal Opportunities Ombudsperson, National Minorities Department under the Government of the Republic of Lithuania, Ministry of Foreign Affairs, Ministry of Justice, </w:t>
      </w:r>
      <w:proofErr w:type="gramStart"/>
      <w:r w:rsidRPr="00A75E02">
        <w:rPr>
          <w:rFonts w:ascii="Times New Roman" w:hAnsi="Times New Roman"/>
          <w:bCs/>
          <w:sz w:val="24"/>
          <w:szCs w:val="24"/>
        </w:rPr>
        <w:t>Police</w:t>
      </w:r>
      <w:proofErr w:type="gramEnd"/>
      <w:r w:rsidRPr="00A75E02">
        <w:rPr>
          <w:rFonts w:ascii="Times New Roman" w:hAnsi="Times New Roman"/>
          <w:bCs/>
          <w:sz w:val="24"/>
          <w:szCs w:val="24"/>
        </w:rPr>
        <w:t xml:space="preserve"> Department under the Ministry of Interior.</w:t>
      </w:r>
    </w:p>
    <w:p w14:paraId="20D0C918" w14:textId="77777777" w:rsidR="00712413" w:rsidRPr="00A75E02" w:rsidRDefault="00956118" w:rsidP="00742FA3">
      <w:pPr>
        <w:suppressAutoHyphens/>
        <w:spacing w:before="100" w:beforeAutospacing="1" w:after="100" w:afterAutospacing="1" w:line="240" w:lineRule="auto"/>
        <w:jc w:val="both"/>
        <w:rPr>
          <w:rFonts w:ascii="Times New Roman" w:eastAsia="Times New Roman" w:hAnsi="Times New Roman" w:cs="Times New Roman"/>
          <w:bCs/>
          <w:sz w:val="24"/>
          <w:szCs w:val="24"/>
        </w:rPr>
      </w:pPr>
      <w:r w:rsidRPr="00A75E02">
        <w:rPr>
          <w:rFonts w:ascii="Times New Roman" w:hAnsi="Times New Roman"/>
          <w:bCs/>
          <w:sz w:val="24"/>
          <w:szCs w:val="24"/>
        </w:rPr>
        <w:t>5. Articles 169, 170, 170</w:t>
      </w:r>
      <w:r w:rsidRPr="00A75E02">
        <w:rPr>
          <w:rFonts w:ascii="Times New Roman" w:hAnsi="Times New Roman"/>
          <w:bCs/>
          <w:sz w:val="24"/>
          <w:szCs w:val="24"/>
          <w:vertAlign w:val="superscript"/>
        </w:rPr>
        <w:t>1</w:t>
      </w:r>
      <w:r w:rsidRPr="00A75E02">
        <w:rPr>
          <w:rFonts w:ascii="Times New Roman" w:hAnsi="Times New Roman"/>
          <w:bCs/>
          <w:sz w:val="24"/>
          <w:szCs w:val="24"/>
        </w:rPr>
        <w:t xml:space="preserve"> of the Criminal Code of the Republic of Lithuania (hereinafter referred to as </w:t>
      </w:r>
      <w:r w:rsidR="0057474A" w:rsidRPr="00A75E02">
        <w:rPr>
          <w:rFonts w:ascii="Times New Roman" w:hAnsi="Times New Roman"/>
          <w:bCs/>
          <w:sz w:val="24"/>
          <w:szCs w:val="24"/>
        </w:rPr>
        <w:t xml:space="preserve">the </w:t>
      </w:r>
      <w:r w:rsidRPr="00A75E02">
        <w:rPr>
          <w:rFonts w:ascii="Times New Roman" w:hAnsi="Times New Roman"/>
          <w:bCs/>
          <w:sz w:val="24"/>
          <w:szCs w:val="24"/>
        </w:rPr>
        <w:t xml:space="preserve">CC) criminalise discrimination on grounds of nationality, race, sex, origin, religion or </w:t>
      </w:r>
      <w:r w:rsidRPr="00A75E02">
        <w:rPr>
          <w:rFonts w:ascii="Times New Roman" w:hAnsi="Times New Roman"/>
          <w:bCs/>
          <w:sz w:val="24"/>
          <w:szCs w:val="24"/>
        </w:rPr>
        <w:lastRenderedPageBreak/>
        <w:t>belonging to other groups. In addition</w:t>
      </w:r>
      <w:r w:rsidR="00483052" w:rsidRPr="00A75E02">
        <w:rPr>
          <w:rFonts w:ascii="Times New Roman" w:hAnsi="Times New Roman"/>
          <w:bCs/>
          <w:sz w:val="24"/>
          <w:szCs w:val="24"/>
        </w:rPr>
        <w:t>,</w:t>
      </w:r>
      <w:r w:rsidRPr="00A75E02">
        <w:rPr>
          <w:rFonts w:ascii="Times New Roman" w:hAnsi="Times New Roman"/>
          <w:bCs/>
          <w:sz w:val="24"/>
          <w:szCs w:val="24"/>
        </w:rPr>
        <w:t xml:space="preserve"> the above-mentioned articles provide for liability for incitement against any national, racial, ethnic, religious or other group of persons </w:t>
      </w:r>
      <w:r w:rsidR="00850022" w:rsidRPr="00A75E02">
        <w:rPr>
          <w:rFonts w:ascii="Times New Roman" w:hAnsi="Times New Roman"/>
          <w:bCs/>
          <w:sz w:val="24"/>
          <w:szCs w:val="24"/>
        </w:rPr>
        <w:t>as well as</w:t>
      </w:r>
      <w:r w:rsidRPr="00A75E02">
        <w:rPr>
          <w:rFonts w:ascii="Times New Roman" w:hAnsi="Times New Roman"/>
          <w:bCs/>
          <w:sz w:val="24"/>
          <w:szCs w:val="24"/>
        </w:rPr>
        <w:t xml:space="preserve"> creation and activities of the groups or organisations aiming at discriminating a group of persons or inciting against it. It should be noted that all the above-mentioned articles of </w:t>
      </w:r>
      <w:r w:rsidR="0057474A" w:rsidRPr="00A75E02">
        <w:rPr>
          <w:rFonts w:ascii="Times New Roman" w:hAnsi="Times New Roman"/>
          <w:bCs/>
          <w:sz w:val="24"/>
          <w:szCs w:val="24"/>
        </w:rPr>
        <w:t xml:space="preserve">the </w:t>
      </w:r>
      <w:r w:rsidRPr="00A75E02">
        <w:rPr>
          <w:rFonts w:ascii="Times New Roman" w:hAnsi="Times New Roman"/>
          <w:bCs/>
          <w:sz w:val="24"/>
          <w:szCs w:val="24"/>
        </w:rPr>
        <w:t xml:space="preserve">CC </w:t>
      </w:r>
      <w:r w:rsidR="006D7A9A" w:rsidRPr="00A75E02">
        <w:rPr>
          <w:rFonts w:ascii="Times New Roman" w:hAnsi="Times New Roman"/>
          <w:bCs/>
          <w:sz w:val="24"/>
          <w:szCs w:val="24"/>
        </w:rPr>
        <w:t>specify</w:t>
      </w:r>
      <w:r w:rsidRPr="00A75E02">
        <w:rPr>
          <w:rFonts w:ascii="Times New Roman" w:hAnsi="Times New Roman"/>
          <w:bCs/>
          <w:sz w:val="24"/>
          <w:szCs w:val="24"/>
        </w:rPr>
        <w:t xml:space="preserve"> the same grounds of discrimination, expressing contempt for, incitement to violence or incitement to hatred – age, sex, sexual orientation, disability, race, nationality, language, origin (of whatever nature – social, national or ethnic, etc.), social status, belief, convictions and views. </w:t>
      </w:r>
    </w:p>
    <w:p w14:paraId="04BF5804" w14:textId="045887E5" w:rsidR="00712413" w:rsidRPr="00A75E02" w:rsidRDefault="00956118" w:rsidP="00742FA3">
      <w:pPr>
        <w:suppressAutoHyphens/>
        <w:spacing w:before="100" w:beforeAutospacing="1" w:after="100" w:afterAutospacing="1" w:line="240" w:lineRule="auto"/>
        <w:jc w:val="both"/>
        <w:rPr>
          <w:rFonts w:ascii="Times New Roman" w:eastAsia="Times New Roman" w:hAnsi="Times New Roman" w:cs="Times New Roman"/>
          <w:bCs/>
          <w:sz w:val="24"/>
          <w:szCs w:val="24"/>
        </w:rPr>
      </w:pPr>
      <w:proofErr w:type="gramStart"/>
      <w:r w:rsidRPr="00A75E02">
        <w:rPr>
          <w:rFonts w:ascii="Times New Roman" w:hAnsi="Times New Roman"/>
          <w:bCs/>
          <w:sz w:val="24"/>
          <w:szCs w:val="24"/>
        </w:rPr>
        <w:t xml:space="preserve">6. It should be noted that there </w:t>
      </w:r>
      <w:r w:rsidR="00CC68DD">
        <w:rPr>
          <w:rFonts w:ascii="Times New Roman" w:hAnsi="Times New Roman"/>
          <w:bCs/>
          <w:sz w:val="24"/>
          <w:szCs w:val="24"/>
        </w:rPr>
        <w:t>are</w:t>
      </w:r>
      <w:r w:rsidR="004542B8" w:rsidRPr="00A75E02">
        <w:rPr>
          <w:rFonts w:ascii="Times New Roman" w:hAnsi="Times New Roman"/>
          <w:bCs/>
          <w:sz w:val="24"/>
          <w:szCs w:val="24"/>
        </w:rPr>
        <w:t xml:space="preserve"> </w:t>
      </w:r>
      <w:r w:rsidR="0057474A" w:rsidRPr="00A75E02">
        <w:rPr>
          <w:rFonts w:ascii="Times New Roman" w:hAnsi="Times New Roman"/>
          <w:bCs/>
          <w:sz w:val="24"/>
          <w:szCs w:val="24"/>
        </w:rPr>
        <w:t>no</w:t>
      </w:r>
      <w:r w:rsidR="00CC68DD">
        <w:rPr>
          <w:rFonts w:ascii="Times New Roman" w:hAnsi="Times New Roman"/>
          <w:bCs/>
          <w:sz w:val="24"/>
          <w:szCs w:val="24"/>
        </w:rPr>
        <w:t xml:space="preserve"> legal</w:t>
      </w:r>
      <w:r w:rsidR="0057474A" w:rsidRPr="00A75E02">
        <w:rPr>
          <w:rFonts w:ascii="Times New Roman" w:hAnsi="Times New Roman"/>
          <w:bCs/>
          <w:sz w:val="24"/>
          <w:szCs w:val="24"/>
        </w:rPr>
        <w:t xml:space="preserve"> gap</w:t>
      </w:r>
      <w:r w:rsidR="00CC68DD">
        <w:rPr>
          <w:rFonts w:ascii="Times New Roman" w:hAnsi="Times New Roman"/>
          <w:bCs/>
          <w:sz w:val="24"/>
          <w:szCs w:val="24"/>
        </w:rPr>
        <w:t>s</w:t>
      </w:r>
      <w:r w:rsidR="0057474A" w:rsidRPr="00A75E02">
        <w:rPr>
          <w:rFonts w:ascii="Times New Roman" w:hAnsi="Times New Roman"/>
          <w:bCs/>
          <w:sz w:val="24"/>
          <w:szCs w:val="24"/>
        </w:rPr>
        <w:t xml:space="preserve"> in Articles 169-</w:t>
      </w:r>
      <w:r w:rsidRPr="00A75E02">
        <w:rPr>
          <w:rFonts w:ascii="Times New Roman" w:hAnsi="Times New Roman"/>
          <w:bCs/>
          <w:sz w:val="24"/>
          <w:szCs w:val="24"/>
        </w:rPr>
        <w:t>170</w:t>
      </w:r>
      <w:r w:rsidRPr="00A75E02">
        <w:rPr>
          <w:rFonts w:ascii="Times New Roman" w:hAnsi="Times New Roman"/>
          <w:bCs/>
          <w:sz w:val="24"/>
          <w:szCs w:val="24"/>
          <w:vertAlign w:val="superscript"/>
        </w:rPr>
        <w:t>1</w:t>
      </w:r>
      <w:r w:rsidR="0057474A" w:rsidRPr="00A75E02">
        <w:rPr>
          <w:rFonts w:ascii="Times New Roman" w:hAnsi="Times New Roman"/>
          <w:bCs/>
          <w:sz w:val="24"/>
          <w:szCs w:val="24"/>
        </w:rPr>
        <w:t xml:space="preserve"> of the CC. Articles 169-</w:t>
      </w:r>
      <w:r w:rsidRPr="00A75E02">
        <w:rPr>
          <w:rFonts w:ascii="Times New Roman" w:hAnsi="Times New Roman"/>
          <w:bCs/>
          <w:sz w:val="24"/>
          <w:szCs w:val="24"/>
        </w:rPr>
        <w:t>170</w:t>
      </w:r>
      <w:r w:rsidRPr="00A75E02">
        <w:rPr>
          <w:rFonts w:ascii="Times New Roman" w:hAnsi="Times New Roman"/>
          <w:bCs/>
          <w:sz w:val="24"/>
          <w:szCs w:val="24"/>
          <w:vertAlign w:val="superscript"/>
        </w:rPr>
        <w:t>1</w:t>
      </w:r>
      <w:r w:rsidRPr="00A75E02">
        <w:rPr>
          <w:rFonts w:ascii="Times New Roman" w:hAnsi="Times New Roman"/>
          <w:bCs/>
          <w:sz w:val="24"/>
          <w:szCs w:val="24"/>
        </w:rPr>
        <w:t xml:space="preserve"> </w:t>
      </w:r>
      <w:r w:rsidR="005566CB" w:rsidRPr="00A75E02">
        <w:rPr>
          <w:rFonts w:ascii="Times New Roman" w:hAnsi="Times New Roman"/>
          <w:bCs/>
          <w:sz w:val="24"/>
          <w:szCs w:val="24"/>
        </w:rPr>
        <w:t xml:space="preserve">of the </w:t>
      </w:r>
      <w:r w:rsidR="000E4428" w:rsidRPr="00A75E02">
        <w:rPr>
          <w:rFonts w:ascii="Times New Roman" w:hAnsi="Times New Roman"/>
          <w:bCs/>
          <w:sz w:val="24"/>
          <w:szCs w:val="24"/>
        </w:rPr>
        <w:t xml:space="preserve">CC </w:t>
      </w:r>
      <w:r w:rsidRPr="00A75E02">
        <w:rPr>
          <w:rFonts w:ascii="Times New Roman" w:hAnsi="Times New Roman"/>
          <w:bCs/>
          <w:sz w:val="24"/>
          <w:szCs w:val="24"/>
        </w:rPr>
        <w:t>and grounds of discrimination, expressing contempt for, incitement to violence or incitement to hatred contained therein are absolutely compatible with the grounds/distinctive feature</w:t>
      </w:r>
      <w:r w:rsidR="000E4428" w:rsidRPr="00A75E02">
        <w:rPr>
          <w:rFonts w:ascii="Times New Roman" w:hAnsi="Times New Roman"/>
          <w:bCs/>
          <w:sz w:val="24"/>
          <w:szCs w:val="24"/>
        </w:rPr>
        <w:t>s</w:t>
      </w:r>
      <w:r w:rsidRPr="00A75E02">
        <w:rPr>
          <w:rFonts w:ascii="Times New Roman" w:hAnsi="Times New Roman"/>
          <w:bCs/>
          <w:sz w:val="24"/>
          <w:szCs w:val="24"/>
        </w:rPr>
        <w:t xml:space="preserve"> of racial discrimination contained in Article 1(1) of the Convention on the Elimination of all </w:t>
      </w:r>
      <w:r w:rsidR="000E4428" w:rsidRPr="00A75E02">
        <w:rPr>
          <w:rFonts w:ascii="Times New Roman" w:hAnsi="Times New Roman"/>
          <w:bCs/>
          <w:sz w:val="24"/>
          <w:szCs w:val="24"/>
        </w:rPr>
        <w:t>F</w:t>
      </w:r>
      <w:r w:rsidRPr="00A75E02">
        <w:rPr>
          <w:rFonts w:ascii="Times New Roman" w:hAnsi="Times New Roman"/>
          <w:bCs/>
          <w:sz w:val="24"/>
          <w:szCs w:val="24"/>
        </w:rPr>
        <w:t>orms of Racial Discrimination (hereinafter referred to as the Convention).</w:t>
      </w:r>
      <w:proofErr w:type="gramEnd"/>
      <w:r w:rsidRPr="00A75E02">
        <w:rPr>
          <w:rFonts w:ascii="Times New Roman" w:hAnsi="Times New Roman"/>
          <w:bCs/>
          <w:sz w:val="24"/>
          <w:szCs w:val="24"/>
        </w:rPr>
        <w:t xml:space="preserve"> </w:t>
      </w:r>
      <w:proofErr w:type="gramStart"/>
      <w:r w:rsidRPr="00A75E02">
        <w:rPr>
          <w:rFonts w:ascii="Times New Roman" w:hAnsi="Times New Roman"/>
          <w:sz w:val="24"/>
          <w:szCs w:val="24"/>
        </w:rPr>
        <w:t xml:space="preserve">Some of grounds of racial discrimination specified in the Convention are </w:t>
      </w:r>
      <w:r w:rsidR="00D43505" w:rsidRPr="00A75E02">
        <w:rPr>
          <w:rFonts w:ascii="Times New Roman" w:hAnsi="Times New Roman"/>
          <w:sz w:val="24"/>
          <w:szCs w:val="24"/>
        </w:rPr>
        <w:t xml:space="preserve">directly </w:t>
      </w:r>
      <w:r w:rsidRPr="00A75E02">
        <w:rPr>
          <w:rFonts w:ascii="Times New Roman" w:hAnsi="Times New Roman"/>
          <w:sz w:val="24"/>
          <w:szCs w:val="24"/>
        </w:rPr>
        <w:t xml:space="preserve">provided for </w:t>
      </w:r>
      <w:r w:rsidR="00AF6FB9" w:rsidRPr="00A75E02">
        <w:rPr>
          <w:rFonts w:ascii="Times New Roman" w:hAnsi="Times New Roman"/>
          <w:sz w:val="24"/>
          <w:szCs w:val="24"/>
        </w:rPr>
        <w:t>in the text of Articles 169-</w:t>
      </w:r>
      <w:r w:rsidRPr="00A75E02">
        <w:rPr>
          <w:rFonts w:ascii="Times New Roman" w:hAnsi="Times New Roman"/>
          <w:sz w:val="24"/>
          <w:szCs w:val="24"/>
        </w:rPr>
        <w:t>170</w:t>
      </w:r>
      <w:r w:rsidRPr="00A75E02">
        <w:rPr>
          <w:rFonts w:ascii="Times New Roman" w:hAnsi="Times New Roman"/>
          <w:sz w:val="24"/>
          <w:szCs w:val="24"/>
          <w:vertAlign w:val="superscript"/>
        </w:rPr>
        <w:t>1</w:t>
      </w:r>
      <w:r w:rsidRPr="00A75E02">
        <w:rPr>
          <w:rFonts w:ascii="Times New Roman" w:hAnsi="Times New Roman"/>
          <w:sz w:val="24"/>
          <w:szCs w:val="24"/>
        </w:rPr>
        <w:t xml:space="preserve"> of </w:t>
      </w:r>
      <w:r w:rsidR="00AF6FB9" w:rsidRPr="00A75E02">
        <w:rPr>
          <w:rFonts w:ascii="Times New Roman" w:hAnsi="Times New Roman"/>
          <w:sz w:val="24"/>
          <w:szCs w:val="24"/>
        </w:rPr>
        <w:t xml:space="preserve">the </w:t>
      </w:r>
      <w:r w:rsidRPr="00A75E02">
        <w:rPr>
          <w:rFonts w:ascii="Times New Roman" w:hAnsi="Times New Roman"/>
          <w:sz w:val="24"/>
          <w:szCs w:val="24"/>
        </w:rPr>
        <w:t>CC, for example ‘race’, while other distinctive features</w:t>
      </w:r>
      <w:r w:rsidR="000B3902" w:rsidRPr="00A75E02">
        <w:rPr>
          <w:rFonts w:ascii="Times New Roman" w:hAnsi="Times New Roman"/>
          <w:sz w:val="24"/>
          <w:szCs w:val="24"/>
        </w:rPr>
        <w:t xml:space="preserve">/grounds </w:t>
      </w:r>
      <w:r w:rsidRPr="00A75E02">
        <w:rPr>
          <w:rFonts w:ascii="Times New Roman" w:hAnsi="Times New Roman"/>
          <w:sz w:val="24"/>
          <w:szCs w:val="24"/>
        </w:rPr>
        <w:t>of racial discrimination are directly covered by other broader grounds/distinctive features of discrimination, expressing contempt for, incitement to violence or incitement to hat</w:t>
      </w:r>
      <w:r w:rsidR="00AF6FB9" w:rsidRPr="00A75E02">
        <w:rPr>
          <w:rFonts w:ascii="Times New Roman" w:hAnsi="Times New Roman"/>
          <w:sz w:val="24"/>
          <w:szCs w:val="24"/>
        </w:rPr>
        <w:t>red contained in Articles 169-</w:t>
      </w:r>
      <w:r w:rsidRPr="00A75E02">
        <w:rPr>
          <w:rFonts w:ascii="Times New Roman" w:hAnsi="Times New Roman"/>
          <w:sz w:val="24"/>
          <w:szCs w:val="24"/>
        </w:rPr>
        <w:t>170</w:t>
      </w:r>
      <w:r w:rsidRPr="00A75E02">
        <w:rPr>
          <w:rFonts w:ascii="Times New Roman" w:hAnsi="Times New Roman"/>
          <w:sz w:val="24"/>
          <w:szCs w:val="24"/>
          <w:vertAlign w:val="superscript"/>
        </w:rPr>
        <w:t>1</w:t>
      </w:r>
      <w:r w:rsidRPr="00A75E02">
        <w:rPr>
          <w:rFonts w:ascii="Times New Roman" w:hAnsi="Times New Roman"/>
          <w:sz w:val="24"/>
          <w:szCs w:val="24"/>
        </w:rPr>
        <w:t xml:space="preserve"> of </w:t>
      </w:r>
      <w:r w:rsidR="00AF6FB9" w:rsidRPr="00A75E02">
        <w:rPr>
          <w:rFonts w:ascii="Times New Roman" w:hAnsi="Times New Roman"/>
          <w:sz w:val="24"/>
          <w:szCs w:val="24"/>
        </w:rPr>
        <w:t xml:space="preserve">the </w:t>
      </w:r>
      <w:r w:rsidRPr="00A75E02">
        <w:rPr>
          <w:rFonts w:ascii="Times New Roman" w:hAnsi="Times New Roman"/>
          <w:sz w:val="24"/>
          <w:szCs w:val="24"/>
        </w:rPr>
        <w:t>CC.</w:t>
      </w:r>
      <w:proofErr w:type="gramEnd"/>
      <w:r w:rsidRPr="00A75E02">
        <w:rPr>
          <w:rFonts w:ascii="Times New Roman" w:hAnsi="Times New Roman"/>
          <w:bCs/>
          <w:sz w:val="24"/>
          <w:szCs w:val="24"/>
        </w:rPr>
        <w:t xml:space="preserve"> </w:t>
      </w:r>
      <w:proofErr w:type="gramStart"/>
      <w:r w:rsidRPr="00A75E02">
        <w:rPr>
          <w:rFonts w:ascii="Times New Roman" w:hAnsi="Times New Roman"/>
          <w:bCs/>
          <w:sz w:val="24"/>
          <w:szCs w:val="24"/>
        </w:rPr>
        <w:t xml:space="preserve">Thus the distinctive feature </w:t>
      </w:r>
      <w:r w:rsidR="00276E65" w:rsidRPr="00A75E02">
        <w:rPr>
          <w:rFonts w:ascii="Times New Roman" w:hAnsi="Times New Roman"/>
          <w:bCs/>
          <w:sz w:val="24"/>
          <w:szCs w:val="24"/>
        </w:rPr>
        <w:t xml:space="preserve">of </w:t>
      </w:r>
      <w:r w:rsidRPr="00A75E02">
        <w:rPr>
          <w:rFonts w:ascii="Times New Roman" w:hAnsi="Times New Roman"/>
          <w:bCs/>
          <w:sz w:val="24"/>
          <w:szCs w:val="24"/>
        </w:rPr>
        <w:t xml:space="preserve">‘colour’ specified in the Convention is covered by the distinctive feature </w:t>
      </w:r>
      <w:r w:rsidR="00276E65" w:rsidRPr="00A75E02">
        <w:rPr>
          <w:rFonts w:ascii="Times New Roman" w:hAnsi="Times New Roman"/>
          <w:bCs/>
          <w:sz w:val="24"/>
          <w:szCs w:val="24"/>
        </w:rPr>
        <w:t xml:space="preserve">of </w:t>
      </w:r>
      <w:r w:rsidRPr="00A75E02">
        <w:rPr>
          <w:rFonts w:ascii="Times New Roman" w:hAnsi="Times New Roman"/>
          <w:bCs/>
          <w:sz w:val="24"/>
          <w:szCs w:val="24"/>
        </w:rPr>
        <w:t>‘ra</w:t>
      </w:r>
      <w:r w:rsidR="00AF6FB9" w:rsidRPr="00A75E02">
        <w:rPr>
          <w:rFonts w:ascii="Times New Roman" w:hAnsi="Times New Roman"/>
          <w:bCs/>
          <w:sz w:val="24"/>
          <w:szCs w:val="24"/>
        </w:rPr>
        <w:t>ce’ specified in Articles 169-</w:t>
      </w:r>
      <w:r w:rsidRPr="00A75E02">
        <w:rPr>
          <w:rFonts w:ascii="Times New Roman" w:hAnsi="Times New Roman"/>
          <w:bCs/>
          <w:sz w:val="24"/>
          <w:szCs w:val="24"/>
        </w:rPr>
        <w:t>170</w:t>
      </w:r>
      <w:r w:rsidRPr="00A75E02">
        <w:rPr>
          <w:rFonts w:ascii="Times New Roman" w:hAnsi="Times New Roman"/>
          <w:bCs/>
          <w:sz w:val="24"/>
          <w:szCs w:val="24"/>
          <w:vertAlign w:val="superscript"/>
        </w:rPr>
        <w:t>1</w:t>
      </w:r>
      <w:r w:rsidRPr="00A75E02">
        <w:rPr>
          <w:rFonts w:ascii="Times New Roman" w:hAnsi="Times New Roman"/>
          <w:bCs/>
          <w:sz w:val="24"/>
          <w:szCs w:val="24"/>
        </w:rPr>
        <w:t xml:space="preserve"> of </w:t>
      </w:r>
      <w:r w:rsidR="00AF6FB9" w:rsidRPr="00A75E02">
        <w:rPr>
          <w:rFonts w:ascii="Times New Roman" w:hAnsi="Times New Roman"/>
          <w:bCs/>
          <w:sz w:val="24"/>
          <w:szCs w:val="24"/>
        </w:rPr>
        <w:t xml:space="preserve">the </w:t>
      </w:r>
      <w:r w:rsidRPr="00A75E02">
        <w:rPr>
          <w:rFonts w:ascii="Times New Roman" w:hAnsi="Times New Roman"/>
          <w:bCs/>
          <w:sz w:val="24"/>
          <w:szCs w:val="24"/>
        </w:rPr>
        <w:t xml:space="preserve">CC; the distinctive feature </w:t>
      </w:r>
      <w:r w:rsidR="00276E65" w:rsidRPr="00A75E02">
        <w:rPr>
          <w:rFonts w:ascii="Times New Roman" w:hAnsi="Times New Roman"/>
          <w:bCs/>
          <w:sz w:val="24"/>
          <w:szCs w:val="24"/>
        </w:rPr>
        <w:t xml:space="preserve">of </w:t>
      </w:r>
      <w:r w:rsidRPr="00A75E02">
        <w:rPr>
          <w:rFonts w:ascii="Times New Roman" w:hAnsi="Times New Roman"/>
          <w:bCs/>
          <w:sz w:val="24"/>
          <w:szCs w:val="24"/>
        </w:rPr>
        <w:t xml:space="preserve">‘national or ethnic origin’ specified in the Convention is covered by the distinctive feature </w:t>
      </w:r>
      <w:r w:rsidR="002F512C" w:rsidRPr="00A75E02">
        <w:rPr>
          <w:rFonts w:ascii="Times New Roman" w:hAnsi="Times New Roman"/>
          <w:bCs/>
          <w:sz w:val="24"/>
          <w:szCs w:val="24"/>
        </w:rPr>
        <w:t xml:space="preserve">of </w:t>
      </w:r>
      <w:r w:rsidRPr="00A75E02">
        <w:rPr>
          <w:rFonts w:ascii="Times New Roman" w:hAnsi="Times New Roman"/>
          <w:bCs/>
          <w:sz w:val="24"/>
          <w:szCs w:val="24"/>
        </w:rPr>
        <w:t>‘orig</w:t>
      </w:r>
      <w:r w:rsidR="00AF6FB9" w:rsidRPr="00A75E02">
        <w:rPr>
          <w:rFonts w:ascii="Times New Roman" w:hAnsi="Times New Roman"/>
          <w:bCs/>
          <w:sz w:val="24"/>
          <w:szCs w:val="24"/>
        </w:rPr>
        <w:t>in’ specified in Articles 169-</w:t>
      </w:r>
      <w:r w:rsidRPr="00A75E02">
        <w:rPr>
          <w:rFonts w:ascii="Times New Roman" w:hAnsi="Times New Roman"/>
          <w:bCs/>
          <w:sz w:val="24"/>
          <w:szCs w:val="24"/>
        </w:rPr>
        <w:t>170</w:t>
      </w:r>
      <w:r w:rsidRPr="00A75E02">
        <w:rPr>
          <w:rFonts w:ascii="Times New Roman" w:hAnsi="Times New Roman"/>
          <w:bCs/>
          <w:sz w:val="24"/>
          <w:szCs w:val="24"/>
          <w:vertAlign w:val="superscript"/>
        </w:rPr>
        <w:t>1</w:t>
      </w:r>
      <w:r w:rsidRPr="00A75E02">
        <w:rPr>
          <w:rFonts w:ascii="Times New Roman" w:hAnsi="Times New Roman"/>
          <w:bCs/>
          <w:sz w:val="24"/>
          <w:szCs w:val="24"/>
        </w:rPr>
        <w:t xml:space="preserve"> of </w:t>
      </w:r>
      <w:r w:rsidR="00AF6FB9" w:rsidRPr="00A75E02">
        <w:rPr>
          <w:rFonts w:ascii="Times New Roman" w:hAnsi="Times New Roman"/>
          <w:bCs/>
          <w:sz w:val="24"/>
          <w:szCs w:val="24"/>
        </w:rPr>
        <w:t xml:space="preserve">the </w:t>
      </w:r>
      <w:r w:rsidRPr="00A75E02">
        <w:rPr>
          <w:rFonts w:ascii="Times New Roman" w:hAnsi="Times New Roman"/>
          <w:bCs/>
          <w:sz w:val="24"/>
          <w:szCs w:val="24"/>
        </w:rPr>
        <w:t xml:space="preserve">CC (which in turn covers </w:t>
      </w:r>
      <w:r w:rsidR="002F512C" w:rsidRPr="00A75E02">
        <w:rPr>
          <w:rFonts w:ascii="Times New Roman" w:hAnsi="Times New Roman"/>
          <w:bCs/>
          <w:sz w:val="24"/>
          <w:szCs w:val="24"/>
        </w:rPr>
        <w:t xml:space="preserve">person’s </w:t>
      </w:r>
      <w:r w:rsidRPr="00A75E02">
        <w:rPr>
          <w:rFonts w:ascii="Times New Roman" w:hAnsi="Times New Roman"/>
          <w:bCs/>
          <w:sz w:val="24"/>
          <w:szCs w:val="24"/>
        </w:rPr>
        <w:t>origin of whatever nature – social, national, ethnic, etc.)</w:t>
      </w:r>
      <w:r w:rsidR="002F512C" w:rsidRPr="00A75E02">
        <w:rPr>
          <w:rFonts w:ascii="Times New Roman" w:hAnsi="Times New Roman"/>
          <w:bCs/>
          <w:sz w:val="24"/>
          <w:szCs w:val="24"/>
        </w:rPr>
        <w:t>;</w:t>
      </w:r>
      <w:r w:rsidRPr="00A75E02">
        <w:rPr>
          <w:rFonts w:ascii="Times New Roman" w:hAnsi="Times New Roman"/>
          <w:bCs/>
          <w:sz w:val="24"/>
          <w:szCs w:val="24"/>
        </w:rPr>
        <w:t xml:space="preserve"> moreover, the distinctive feature </w:t>
      </w:r>
      <w:r w:rsidR="002F512C" w:rsidRPr="00A75E02">
        <w:rPr>
          <w:rFonts w:ascii="Times New Roman" w:hAnsi="Times New Roman"/>
          <w:bCs/>
          <w:sz w:val="24"/>
          <w:szCs w:val="24"/>
        </w:rPr>
        <w:t xml:space="preserve">of </w:t>
      </w:r>
      <w:r w:rsidRPr="00A75E02">
        <w:rPr>
          <w:rFonts w:ascii="Times New Roman" w:hAnsi="Times New Roman"/>
          <w:bCs/>
          <w:sz w:val="24"/>
          <w:szCs w:val="24"/>
        </w:rPr>
        <w:t>‘nationality’ as an independent ground of discrimination, expressing contempt for, incitement to violence or incitement to hatred is additionally separat</w:t>
      </w:r>
      <w:r w:rsidR="00AF6FB9" w:rsidRPr="00A75E02">
        <w:rPr>
          <w:rFonts w:ascii="Times New Roman" w:hAnsi="Times New Roman"/>
          <w:bCs/>
          <w:sz w:val="24"/>
          <w:szCs w:val="24"/>
        </w:rPr>
        <w:t>ely specified in Articles 169-</w:t>
      </w:r>
      <w:r w:rsidRPr="00A75E02">
        <w:rPr>
          <w:rFonts w:ascii="Times New Roman" w:hAnsi="Times New Roman"/>
          <w:bCs/>
          <w:sz w:val="24"/>
          <w:szCs w:val="24"/>
        </w:rPr>
        <w:t>170</w:t>
      </w:r>
      <w:r w:rsidRPr="00A75E02">
        <w:rPr>
          <w:rFonts w:ascii="Times New Roman" w:hAnsi="Times New Roman"/>
          <w:bCs/>
          <w:sz w:val="24"/>
          <w:szCs w:val="24"/>
          <w:vertAlign w:val="superscript"/>
        </w:rPr>
        <w:t>1</w:t>
      </w:r>
      <w:r w:rsidRPr="00A75E02">
        <w:rPr>
          <w:rFonts w:ascii="Times New Roman" w:hAnsi="Times New Roman"/>
          <w:bCs/>
          <w:sz w:val="24"/>
          <w:szCs w:val="24"/>
        </w:rPr>
        <w:t xml:space="preserve"> of </w:t>
      </w:r>
      <w:r w:rsidR="00AF6FB9" w:rsidRPr="00A75E02">
        <w:rPr>
          <w:rFonts w:ascii="Times New Roman" w:hAnsi="Times New Roman"/>
          <w:bCs/>
          <w:sz w:val="24"/>
          <w:szCs w:val="24"/>
        </w:rPr>
        <w:t xml:space="preserve">the </w:t>
      </w:r>
      <w:r w:rsidRPr="00A75E02">
        <w:rPr>
          <w:rFonts w:ascii="Times New Roman" w:hAnsi="Times New Roman"/>
          <w:bCs/>
          <w:sz w:val="24"/>
          <w:szCs w:val="24"/>
        </w:rPr>
        <w:t xml:space="preserve">CC and the distinctive feature </w:t>
      </w:r>
      <w:r w:rsidR="00A82A69" w:rsidRPr="00A75E02">
        <w:rPr>
          <w:rFonts w:ascii="Times New Roman" w:hAnsi="Times New Roman"/>
          <w:bCs/>
          <w:sz w:val="24"/>
          <w:szCs w:val="24"/>
        </w:rPr>
        <w:t xml:space="preserve">of </w:t>
      </w:r>
      <w:r w:rsidRPr="00A75E02">
        <w:rPr>
          <w:rFonts w:ascii="Times New Roman" w:hAnsi="Times New Roman"/>
          <w:bCs/>
          <w:sz w:val="24"/>
          <w:szCs w:val="24"/>
        </w:rPr>
        <w:t xml:space="preserve">‘descent’ specified in the Convention is covered by the distinctive feature </w:t>
      </w:r>
      <w:r w:rsidR="00A82A69" w:rsidRPr="00A75E02">
        <w:rPr>
          <w:rFonts w:ascii="Times New Roman" w:hAnsi="Times New Roman"/>
          <w:bCs/>
          <w:sz w:val="24"/>
          <w:szCs w:val="24"/>
        </w:rPr>
        <w:t xml:space="preserve">of </w:t>
      </w:r>
      <w:r w:rsidRPr="00A75E02">
        <w:rPr>
          <w:rFonts w:ascii="Times New Roman" w:hAnsi="Times New Roman"/>
          <w:bCs/>
          <w:sz w:val="24"/>
          <w:szCs w:val="24"/>
        </w:rPr>
        <w:t>‘nationali</w:t>
      </w:r>
      <w:r w:rsidR="00AF6FB9" w:rsidRPr="00A75E02">
        <w:rPr>
          <w:rFonts w:ascii="Times New Roman" w:hAnsi="Times New Roman"/>
          <w:bCs/>
          <w:sz w:val="24"/>
          <w:szCs w:val="24"/>
        </w:rPr>
        <w:t>ty’ specified in Articles 169-</w:t>
      </w:r>
      <w:r w:rsidRPr="00A75E02">
        <w:rPr>
          <w:rFonts w:ascii="Times New Roman" w:hAnsi="Times New Roman"/>
          <w:bCs/>
          <w:sz w:val="24"/>
          <w:szCs w:val="24"/>
        </w:rPr>
        <w:t>170</w:t>
      </w:r>
      <w:r w:rsidRPr="00A75E02">
        <w:rPr>
          <w:rFonts w:ascii="Times New Roman" w:hAnsi="Times New Roman"/>
          <w:bCs/>
          <w:sz w:val="24"/>
          <w:szCs w:val="24"/>
          <w:vertAlign w:val="superscript"/>
        </w:rPr>
        <w:t>1</w:t>
      </w:r>
      <w:r w:rsidRPr="00A75E02">
        <w:rPr>
          <w:rFonts w:ascii="Times New Roman" w:hAnsi="Times New Roman"/>
          <w:bCs/>
          <w:sz w:val="24"/>
          <w:szCs w:val="24"/>
        </w:rPr>
        <w:t xml:space="preserve"> of </w:t>
      </w:r>
      <w:r w:rsidR="00AF6FB9" w:rsidRPr="00A75E02">
        <w:rPr>
          <w:rFonts w:ascii="Times New Roman" w:hAnsi="Times New Roman"/>
          <w:bCs/>
          <w:sz w:val="24"/>
          <w:szCs w:val="24"/>
        </w:rPr>
        <w:t xml:space="preserve">the </w:t>
      </w:r>
      <w:r w:rsidRPr="00A75E02">
        <w:rPr>
          <w:rFonts w:ascii="Times New Roman" w:hAnsi="Times New Roman"/>
          <w:bCs/>
          <w:sz w:val="24"/>
          <w:szCs w:val="24"/>
        </w:rPr>
        <w:t xml:space="preserve">CC (in addition the distinctive feature </w:t>
      </w:r>
      <w:r w:rsidR="00A82A69" w:rsidRPr="00A75E02">
        <w:rPr>
          <w:rFonts w:ascii="Times New Roman" w:hAnsi="Times New Roman"/>
          <w:bCs/>
          <w:sz w:val="24"/>
          <w:szCs w:val="24"/>
        </w:rPr>
        <w:t xml:space="preserve">of </w:t>
      </w:r>
      <w:r w:rsidRPr="00A75E02">
        <w:rPr>
          <w:rFonts w:ascii="Times New Roman" w:hAnsi="Times New Roman"/>
          <w:bCs/>
          <w:sz w:val="24"/>
          <w:szCs w:val="24"/>
        </w:rPr>
        <w:t xml:space="preserve">‘descent’ to a certain extent is covered by the distinctive features </w:t>
      </w:r>
      <w:r w:rsidR="00A82A69" w:rsidRPr="00A75E02">
        <w:rPr>
          <w:rFonts w:ascii="Times New Roman" w:hAnsi="Times New Roman"/>
          <w:bCs/>
          <w:sz w:val="24"/>
          <w:szCs w:val="24"/>
        </w:rPr>
        <w:t xml:space="preserve">of </w:t>
      </w:r>
      <w:r w:rsidRPr="00A75E02">
        <w:rPr>
          <w:rFonts w:ascii="Times New Roman" w:hAnsi="Times New Roman"/>
          <w:bCs/>
          <w:sz w:val="24"/>
          <w:szCs w:val="24"/>
        </w:rPr>
        <w:t>‘origin’ and ‘language’ specified in</w:t>
      </w:r>
      <w:r w:rsidR="00AF6FB9" w:rsidRPr="00A75E02">
        <w:rPr>
          <w:rFonts w:ascii="Times New Roman" w:hAnsi="Times New Roman"/>
          <w:bCs/>
          <w:sz w:val="24"/>
          <w:szCs w:val="24"/>
        </w:rPr>
        <w:t xml:space="preserve"> Articles 169-</w:t>
      </w:r>
      <w:r w:rsidRPr="00A75E02">
        <w:rPr>
          <w:rFonts w:ascii="Times New Roman" w:hAnsi="Times New Roman"/>
          <w:bCs/>
          <w:sz w:val="24"/>
          <w:szCs w:val="24"/>
        </w:rPr>
        <w:t>170</w:t>
      </w:r>
      <w:r w:rsidRPr="00A75E02">
        <w:rPr>
          <w:rFonts w:ascii="Times New Roman" w:hAnsi="Times New Roman"/>
          <w:bCs/>
          <w:sz w:val="24"/>
          <w:szCs w:val="24"/>
          <w:vertAlign w:val="superscript"/>
        </w:rPr>
        <w:t>1</w:t>
      </w:r>
      <w:r w:rsidRPr="00A75E02">
        <w:rPr>
          <w:rFonts w:ascii="Times New Roman" w:hAnsi="Times New Roman"/>
          <w:bCs/>
          <w:sz w:val="24"/>
          <w:szCs w:val="24"/>
        </w:rPr>
        <w:t xml:space="preserve"> of </w:t>
      </w:r>
      <w:r w:rsidR="00AF6FB9" w:rsidRPr="00A75E02">
        <w:rPr>
          <w:rFonts w:ascii="Times New Roman" w:hAnsi="Times New Roman"/>
          <w:bCs/>
          <w:sz w:val="24"/>
          <w:szCs w:val="24"/>
        </w:rPr>
        <w:t xml:space="preserve">the </w:t>
      </w:r>
      <w:r w:rsidRPr="00A75E02">
        <w:rPr>
          <w:rFonts w:ascii="Times New Roman" w:hAnsi="Times New Roman"/>
          <w:bCs/>
          <w:sz w:val="24"/>
          <w:szCs w:val="24"/>
        </w:rPr>
        <w:t>CC).</w:t>
      </w:r>
      <w:proofErr w:type="gramEnd"/>
      <w:r w:rsidRPr="00A75E02">
        <w:rPr>
          <w:rFonts w:ascii="Times New Roman" w:hAnsi="Times New Roman"/>
          <w:bCs/>
          <w:sz w:val="24"/>
          <w:szCs w:val="24"/>
        </w:rPr>
        <w:t xml:space="preserve"> Thus</w:t>
      </w:r>
      <w:r w:rsidR="00EC32A6" w:rsidRPr="00A75E02">
        <w:rPr>
          <w:rFonts w:ascii="Times New Roman" w:hAnsi="Times New Roman"/>
          <w:bCs/>
          <w:sz w:val="24"/>
          <w:szCs w:val="24"/>
        </w:rPr>
        <w:t>,</w:t>
      </w:r>
      <w:r w:rsidRPr="00A75E02">
        <w:rPr>
          <w:rFonts w:ascii="Times New Roman" w:hAnsi="Times New Roman"/>
          <w:bCs/>
          <w:sz w:val="24"/>
          <w:szCs w:val="24"/>
        </w:rPr>
        <w:t xml:space="preserve"> it should be stated that the requirements of Article 1 of the Convention are properl</w:t>
      </w:r>
      <w:r w:rsidR="00AF6FB9" w:rsidRPr="00A75E02">
        <w:rPr>
          <w:rFonts w:ascii="Times New Roman" w:hAnsi="Times New Roman"/>
          <w:bCs/>
          <w:sz w:val="24"/>
          <w:szCs w:val="24"/>
        </w:rPr>
        <w:t>y implemented by Articles 169-</w:t>
      </w:r>
      <w:r w:rsidRPr="00A75E02">
        <w:rPr>
          <w:rFonts w:ascii="Times New Roman" w:hAnsi="Times New Roman"/>
          <w:bCs/>
          <w:sz w:val="24"/>
          <w:szCs w:val="24"/>
        </w:rPr>
        <w:t>170</w:t>
      </w:r>
      <w:r w:rsidRPr="00A75E02">
        <w:rPr>
          <w:rFonts w:ascii="Times New Roman" w:hAnsi="Times New Roman"/>
          <w:bCs/>
          <w:sz w:val="24"/>
          <w:szCs w:val="24"/>
          <w:vertAlign w:val="superscript"/>
        </w:rPr>
        <w:t>1</w:t>
      </w:r>
      <w:r w:rsidRPr="00A75E02">
        <w:rPr>
          <w:rFonts w:ascii="Times New Roman" w:hAnsi="Times New Roman"/>
          <w:bCs/>
          <w:sz w:val="24"/>
          <w:szCs w:val="24"/>
        </w:rPr>
        <w:t xml:space="preserve"> of </w:t>
      </w:r>
      <w:r w:rsidR="00AF6FB9" w:rsidRPr="00A75E02">
        <w:rPr>
          <w:rFonts w:ascii="Times New Roman" w:hAnsi="Times New Roman"/>
          <w:bCs/>
          <w:sz w:val="24"/>
          <w:szCs w:val="24"/>
        </w:rPr>
        <w:t xml:space="preserve">the </w:t>
      </w:r>
      <w:r w:rsidRPr="00A75E02">
        <w:rPr>
          <w:rFonts w:ascii="Times New Roman" w:hAnsi="Times New Roman"/>
          <w:bCs/>
          <w:sz w:val="24"/>
          <w:szCs w:val="24"/>
        </w:rPr>
        <w:t>CC.</w:t>
      </w:r>
    </w:p>
    <w:p w14:paraId="3BA05111" w14:textId="77777777" w:rsidR="00D454F4" w:rsidRPr="00A75E02" w:rsidRDefault="002D505B"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 xml:space="preserve">The Committee welcomes information provided by the State party that the draft Law of National Minorities is ready for adoption and requests further updated information on if the law has been adopted, when it will enter into force, and </w:t>
      </w:r>
      <w:proofErr w:type="gramStart"/>
      <w:r w:rsidRPr="00A75E02">
        <w:rPr>
          <w:rFonts w:ascii="Times New Roman" w:hAnsi="Times New Roman"/>
          <w:i/>
          <w:sz w:val="24"/>
          <w:szCs w:val="24"/>
        </w:rPr>
        <w:t>efforts which</w:t>
      </w:r>
      <w:proofErr w:type="gramEnd"/>
      <w:r w:rsidRPr="00A75E02">
        <w:rPr>
          <w:rFonts w:ascii="Times New Roman" w:hAnsi="Times New Roman"/>
          <w:i/>
          <w:sz w:val="24"/>
          <w:szCs w:val="24"/>
        </w:rPr>
        <w:t xml:space="preserve"> will be under taken for its implementation.</w:t>
      </w:r>
    </w:p>
    <w:p w14:paraId="1052DB2F" w14:textId="77777777" w:rsidR="002D505B" w:rsidRPr="00A75E02" w:rsidRDefault="005332EE"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7. </w:t>
      </w:r>
      <w:r w:rsidR="00EC32A6" w:rsidRPr="00A75E02">
        <w:rPr>
          <w:rFonts w:ascii="Times New Roman" w:hAnsi="Times New Roman"/>
          <w:sz w:val="24"/>
          <w:szCs w:val="24"/>
        </w:rPr>
        <w:t>The d</w:t>
      </w:r>
      <w:r w:rsidRPr="00A75E02">
        <w:rPr>
          <w:rFonts w:ascii="Times New Roman" w:hAnsi="Times New Roman"/>
          <w:sz w:val="24"/>
          <w:szCs w:val="24"/>
        </w:rPr>
        <w:t xml:space="preserve">raft Law on National Minorities No XIP-1648 </w:t>
      </w:r>
      <w:proofErr w:type="gramStart"/>
      <w:r w:rsidRPr="00A75E02">
        <w:rPr>
          <w:rFonts w:ascii="Times New Roman" w:hAnsi="Times New Roman"/>
          <w:sz w:val="24"/>
          <w:szCs w:val="24"/>
        </w:rPr>
        <w:t>was not adopted</w:t>
      </w:r>
      <w:proofErr w:type="gramEnd"/>
      <w:r w:rsidRPr="00A75E02">
        <w:rPr>
          <w:rFonts w:ascii="Times New Roman" w:hAnsi="Times New Roman"/>
          <w:sz w:val="24"/>
          <w:szCs w:val="24"/>
        </w:rPr>
        <w:t>.</w:t>
      </w:r>
    </w:p>
    <w:p w14:paraId="55AF6407" w14:textId="77777777" w:rsidR="0025696A" w:rsidRPr="00A75E02" w:rsidRDefault="005332EE"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8. The Government directed the Ministry of Culture and the National Minorities Department under the Government of the Republic of Lithuania (hereinafter referred to as </w:t>
      </w:r>
      <w:r w:rsidR="00AF6FB9" w:rsidRPr="00A75E02">
        <w:rPr>
          <w:rFonts w:ascii="Times New Roman" w:hAnsi="Times New Roman"/>
          <w:sz w:val="24"/>
          <w:szCs w:val="24"/>
        </w:rPr>
        <w:t xml:space="preserve">the </w:t>
      </w:r>
      <w:r w:rsidRPr="00A75E02">
        <w:rPr>
          <w:rFonts w:ascii="Times New Roman" w:hAnsi="Times New Roman"/>
          <w:sz w:val="24"/>
          <w:szCs w:val="24"/>
        </w:rPr>
        <w:t xml:space="preserve">NMD) to prepare </w:t>
      </w:r>
      <w:r w:rsidR="00C2505D" w:rsidRPr="00A75E02">
        <w:rPr>
          <w:rFonts w:ascii="Times New Roman" w:hAnsi="Times New Roman"/>
          <w:sz w:val="24"/>
          <w:szCs w:val="24"/>
        </w:rPr>
        <w:t xml:space="preserve">a </w:t>
      </w:r>
      <w:r w:rsidRPr="00A75E02">
        <w:rPr>
          <w:rFonts w:ascii="Times New Roman" w:hAnsi="Times New Roman"/>
          <w:sz w:val="24"/>
          <w:szCs w:val="24"/>
        </w:rPr>
        <w:t xml:space="preserve">new </w:t>
      </w:r>
      <w:r w:rsidR="00C2505D" w:rsidRPr="00A75E02">
        <w:rPr>
          <w:rFonts w:ascii="Times New Roman" w:hAnsi="Times New Roman"/>
          <w:sz w:val="24"/>
          <w:szCs w:val="24"/>
        </w:rPr>
        <w:t>d</w:t>
      </w:r>
      <w:r w:rsidRPr="00A75E02">
        <w:rPr>
          <w:rFonts w:ascii="Times New Roman" w:hAnsi="Times New Roman"/>
          <w:sz w:val="24"/>
          <w:szCs w:val="24"/>
        </w:rPr>
        <w:t>raft law</w:t>
      </w:r>
      <w:r w:rsidR="003E1C4F" w:rsidRPr="00A75E02">
        <w:rPr>
          <w:rFonts w:ascii="Times New Roman" w:hAnsi="Times New Roman"/>
          <w:sz w:val="24"/>
          <w:szCs w:val="24"/>
        </w:rPr>
        <w:t>.</w:t>
      </w:r>
    </w:p>
    <w:p w14:paraId="449D4519" w14:textId="77777777" w:rsidR="004024CC" w:rsidRPr="00A75E02" w:rsidRDefault="004024CC" w:rsidP="00742FA3">
      <w:pPr>
        <w:spacing w:before="100" w:beforeAutospacing="1" w:after="100" w:afterAutospacing="1" w:line="240" w:lineRule="auto"/>
        <w:jc w:val="both"/>
        <w:rPr>
          <w:rFonts w:ascii="Times New Roman" w:hAnsi="Times New Roman" w:cs="Times New Roman"/>
          <w:i/>
          <w:sz w:val="24"/>
          <w:szCs w:val="24"/>
        </w:rPr>
      </w:pPr>
      <w:proofErr w:type="gramStart"/>
      <w:r w:rsidRPr="00A75E02">
        <w:rPr>
          <w:rFonts w:ascii="Times New Roman" w:hAnsi="Times New Roman"/>
          <w:i/>
          <w:sz w:val="24"/>
          <w:szCs w:val="24"/>
        </w:rPr>
        <w:t>The</w:t>
      </w:r>
      <w:r w:rsidR="007567F6">
        <w:rPr>
          <w:rFonts w:ascii="Times New Roman" w:hAnsi="Times New Roman"/>
          <w:i/>
          <w:sz w:val="24"/>
          <w:szCs w:val="24"/>
        </w:rPr>
        <w:t xml:space="preserve"> </w:t>
      </w:r>
      <w:r w:rsidRPr="00A75E02">
        <w:rPr>
          <w:rFonts w:ascii="Times New Roman" w:hAnsi="Times New Roman"/>
          <w:i/>
          <w:sz w:val="24"/>
          <w:szCs w:val="24"/>
        </w:rPr>
        <w:t>Committee</w:t>
      </w:r>
      <w:r w:rsidR="001601D9">
        <w:rPr>
          <w:rFonts w:ascii="Times New Roman" w:hAnsi="Times New Roman"/>
          <w:i/>
          <w:sz w:val="24"/>
          <w:szCs w:val="24"/>
        </w:rPr>
        <w:t xml:space="preserve"> </w:t>
      </w:r>
      <w:r w:rsidRPr="00A75E02">
        <w:rPr>
          <w:rFonts w:ascii="Times New Roman" w:hAnsi="Times New Roman"/>
          <w:i/>
          <w:sz w:val="24"/>
          <w:szCs w:val="24"/>
        </w:rPr>
        <w:t>recommends</w:t>
      </w:r>
      <w:r w:rsidR="001601D9">
        <w:rPr>
          <w:rFonts w:ascii="Times New Roman" w:hAnsi="Times New Roman"/>
          <w:i/>
          <w:sz w:val="24"/>
          <w:szCs w:val="24"/>
        </w:rPr>
        <w:t xml:space="preserve"> </w:t>
      </w:r>
      <w:r w:rsidRPr="00A75E02">
        <w:rPr>
          <w:rFonts w:ascii="Times New Roman" w:hAnsi="Times New Roman"/>
          <w:i/>
          <w:sz w:val="24"/>
          <w:szCs w:val="24"/>
        </w:rPr>
        <w:t>that</w:t>
      </w:r>
      <w:r w:rsidR="001601D9">
        <w:rPr>
          <w:rFonts w:ascii="Times New Roman" w:hAnsi="Times New Roman"/>
          <w:i/>
          <w:sz w:val="24"/>
          <w:szCs w:val="24"/>
        </w:rPr>
        <w:t xml:space="preserve"> </w:t>
      </w:r>
      <w:r w:rsidRPr="00A75E02">
        <w:rPr>
          <w:rFonts w:ascii="Times New Roman" w:hAnsi="Times New Roman"/>
          <w:i/>
          <w:sz w:val="24"/>
          <w:szCs w:val="24"/>
        </w:rPr>
        <w:t>the</w:t>
      </w:r>
      <w:r w:rsidR="001601D9">
        <w:rPr>
          <w:rFonts w:ascii="Times New Roman" w:hAnsi="Times New Roman"/>
          <w:i/>
          <w:sz w:val="24"/>
          <w:szCs w:val="24"/>
        </w:rPr>
        <w:t xml:space="preserve"> </w:t>
      </w:r>
      <w:r w:rsidRPr="00A75E02">
        <w:rPr>
          <w:rFonts w:ascii="Times New Roman" w:hAnsi="Times New Roman"/>
          <w:i/>
          <w:sz w:val="24"/>
          <w:szCs w:val="24"/>
        </w:rPr>
        <w:t>State</w:t>
      </w:r>
      <w:r w:rsidR="001601D9">
        <w:rPr>
          <w:rFonts w:ascii="Times New Roman" w:hAnsi="Times New Roman"/>
          <w:i/>
          <w:sz w:val="24"/>
          <w:szCs w:val="24"/>
        </w:rPr>
        <w:t xml:space="preserve"> </w:t>
      </w:r>
      <w:r w:rsidRPr="00A75E02">
        <w:rPr>
          <w:rFonts w:ascii="Times New Roman" w:hAnsi="Times New Roman"/>
          <w:i/>
          <w:sz w:val="24"/>
          <w:szCs w:val="24"/>
        </w:rPr>
        <w:t>party</w:t>
      </w:r>
      <w:r w:rsidR="001601D9">
        <w:rPr>
          <w:rFonts w:ascii="Times New Roman" w:hAnsi="Times New Roman"/>
          <w:i/>
          <w:sz w:val="24"/>
          <w:szCs w:val="24"/>
        </w:rPr>
        <w:t xml:space="preserve"> </w:t>
      </w:r>
      <w:r w:rsidRPr="00A75E02">
        <w:rPr>
          <w:rFonts w:ascii="Times New Roman" w:hAnsi="Times New Roman"/>
          <w:i/>
          <w:sz w:val="24"/>
          <w:szCs w:val="24"/>
        </w:rPr>
        <w:t>make</w:t>
      </w:r>
      <w:r w:rsidR="001601D9">
        <w:rPr>
          <w:rFonts w:ascii="Times New Roman" w:hAnsi="Times New Roman"/>
          <w:i/>
          <w:sz w:val="24"/>
          <w:szCs w:val="24"/>
        </w:rPr>
        <w:t xml:space="preserve"> </w:t>
      </w:r>
      <w:r w:rsidRPr="00A75E02">
        <w:rPr>
          <w:rFonts w:ascii="Times New Roman" w:hAnsi="Times New Roman"/>
          <w:i/>
          <w:sz w:val="24"/>
          <w:szCs w:val="24"/>
        </w:rPr>
        <w:t>efforts</w:t>
      </w:r>
      <w:r w:rsidR="001601D9">
        <w:rPr>
          <w:rFonts w:ascii="Times New Roman" w:hAnsi="Times New Roman"/>
          <w:i/>
          <w:sz w:val="24"/>
          <w:szCs w:val="24"/>
        </w:rPr>
        <w:t xml:space="preserve"> </w:t>
      </w:r>
      <w:r w:rsidRPr="00A75E02">
        <w:rPr>
          <w:rFonts w:ascii="Times New Roman" w:hAnsi="Times New Roman"/>
          <w:i/>
          <w:sz w:val="24"/>
          <w:szCs w:val="24"/>
        </w:rPr>
        <w:t>to</w:t>
      </w:r>
      <w:r w:rsidR="001601D9">
        <w:rPr>
          <w:rFonts w:ascii="Times New Roman" w:hAnsi="Times New Roman"/>
          <w:i/>
          <w:sz w:val="24"/>
          <w:szCs w:val="24"/>
        </w:rPr>
        <w:t xml:space="preserve"> </w:t>
      </w:r>
      <w:r w:rsidRPr="00A75E02">
        <w:rPr>
          <w:rFonts w:ascii="Times New Roman" w:hAnsi="Times New Roman"/>
          <w:i/>
          <w:sz w:val="24"/>
          <w:szCs w:val="24"/>
        </w:rPr>
        <w:t>obtain available recent, reliable and comprehensive data on economic and social indicators based on nationality and ethnicity, in order to ensure better assessments of the extent of</w:t>
      </w:r>
      <w:r w:rsidR="001601D9">
        <w:rPr>
          <w:rFonts w:ascii="Times New Roman" w:hAnsi="Times New Roman"/>
          <w:i/>
          <w:sz w:val="24"/>
          <w:szCs w:val="24"/>
        </w:rPr>
        <w:t xml:space="preserve"> </w:t>
      </w:r>
      <w:r w:rsidRPr="00A75E02">
        <w:rPr>
          <w:rFonts w:ascii="Times New Roman" w:hAnsi="Times New Roman"/>
          <w:i/>
          <w:sz w:val="24"/>
          <w:szCs w:val="24"/>
        </w:rPr>
        <w:t>the</w:t>
      </w:r>
      <w:r w:rsidR="001601D9">
        <w:rPr>
          <w:rFonts w:ascii="Times New Roman" w:hAnsi="Times New Roman"/>
          <w:i/>
          <w:sz w:val="24"/>
          <w:szCs w:val="24"/>
        </w:rPr>
        <w:t xml:space="preserve"> </w:t>
      </w:r>
      <w:r w:rsidRPr="00A75E02">
        <w:rPr>
          <w:rFonts w:ascii="Times New Roman" w:hAnsi="Times New Roman"/>
          <w:i/>
          <w:sz w:val="24"/>
          <w:szCs w:val="24"/>
        </w:rPr>
        <w:t>enjoyment of</w:t>
      </w:r>
      <w:r w:rsidR="001601D9">
        <w:rPr>
          <w:rFonts w:ascii="Times New Roman" w:hAnsi="Times New Roman"/>
          <w:i/>
          <w:sz w:val="24"/>
          <w:szCs w:val="24"/>
        </w:rPr>
        <w:t xml:space="preserve"> </w:t>
      </w:r>
      <w:r w:rsidRPr="00A75E02">
        <w:rPr>
          <w:rFonts w:ascii="Times New Roman" w:hAnsi="Times New Roman"/>
          <w:i/>
          <w:sz w:val="24"/>
          <w:szCs w:val="24"/>
        </w:rPr>
        <w:t>economic,</w:t>
      </w:r>
      <w:r w:rsidR="001601D9">
        <w:rPr>
          <w:rFonts w:ascii="Times New Roman" w:hAnsi="Times New Roman"/>
          <w:i/>
          <w:sz w:val="24"/>
          <w:szCs w:val="24"/>
        </w:rPr>
        <w:t xml:space="preserve"> </w:t>
      </w:r>
      <w:r w:rsidRPr="00A75E02">
        <w:rPr>
          <w:rFonts w:ascii="Times New Roman" w:hAnsi="Times New Roman"/>
          <w:i/>
          <w:sz w:val="24"/>
          <w:szCs w:val="24"/>
        </w:rPr>
        <w:t>social</w:t>
      </w:r>
      <w:r w:rsidR="001601D9">
        <w:rPr>
          <w:rFonts w:ascii="Times New Roman" w:hAnsi="Times New Roman"/>
          <w:i/>
          <w:sz w:val="24"/>
          <w:szCs w:val="24"/>
        </w:rPr>
        <w:t xml:space="preserve"> </w:t>
      </w:r>
      <w:r w:rsidRPr="00A75E02">
        <w:rPr>
          <w:rFonts w:ascii="Times New Roman" w:hAnsi="Times New Roman"/>
          <w:i/>
          <w:sz w:val="24"/>
          <w:szCs w:val="24"/>
        </w:rPr>
        <w:t>and</w:t>
      </w:r>
      <w:r w:rsidR="001601D9">
        <w:rPr>
          <w:rFonts w:ascii="Times New Roman" w:hAnsi="Times New Roman"/>
          <w:i/>
          <w:sz w:val="24"/>
          <w:szCs w:val="24"/>
        </w:rPr>
        <w:t xml:space="preserve"> </w:t>
      </w:r>
      <w:r w:rsidRPr="00A75E02">
        <w:rPr>
          <w:rFonts w:ascii="Times New Roman" w:hAnsi="Times New Roman"/>
          <w:i/>
          <w:sz w:val="24"/>
          <w:szCs w:val="24"/>
        </w:rPr>
        <w:t>cultural</w:t>
      </w:r>
      <w:r w:rsidR="001601D9">
        <w:rPr>
          <w:rFonts w:ascii="Times New Roman" w:hAnsi="Times New Roman"/>
          <w:i/>
          <w:sz w:val="24"/>
          <w:szCs w:val="24"/>
        </w:rPr>
        <w:t xml:space="preserve"> </w:t>
      </w:r>
      <w:r w:rsidRPr="00A75E02">
        <w:rPr>
          <w:rFonts w:ascii="Times New Roman" w:hAnsi="Times New Roman"/>
          <w:i/>
          <w:sz w:val="24"/>
          <w:szCs w:val="24"/>
        </w:rPr>
        <w:t>rights</w:t>
      </w:r>
      <w:r w:rsidR="001601D9">
        <w:rPr>
          <w:rFonts w:ascii="Times New Roman" w:hAnsi="Times New Roman"/>
          <w:i/>
          <w:sz w:val="24"/>
          <w:szCs w:val="24"/>
        </w:rPr>
        <w:t xml:space="preserve"> </w:t>
      </w:r>
      <w:r w:rsidRPr="00A75E02">
        <w:rPr>
          <w:rFonts w:ascii="Times New Roman" w:hAnsi="Times New Roman"/>
          <w:i/>
          <w:sz w:val="24"/>
          <w:szCs w:val="24"/>
        </w:rPr>
        <w:t>by</w:t>
      </w:r>
      <w:r w:rsidR="001601D9">
        <w:rPr>
          <w:rFonts w:ascii="Times New Roman" w:hAnsi="Times New Roman"/>
          <w:i/>
          <w:sz w:val="24"/>
          <w:szCs w:val="24"/>
        </w:rPr>
        <w:t xml:space="preserve"> </w:t>
      </w:r>
      <w:r w:rsidRPr="00A75E02">
        <w:rPr>
          <w:rFonts w:ascii="Times New Roman" w:hAnsi="Times New Roman"/>
          <w:i/>
          <w:sz w:val="24"/>
          <w:szCs w:val="24"/>
        </w:rPr>
        <w:t>ethnic</w:t>
      </w:r>
      <w:r w:rsidR="001601D9">
        <w:rPr>
          <w:rFonts w:ascii="Times New Roman" w:hAnsi="Times New Roman"/>
          <w:i/>
          <w:sz w:val="24"/>
          <w:szCs w:val="24"/>
        </w:rPr>
        <w:t xml:space="preserve"> </w:t>
      </w:r>
      <w:r w:rsidRPr="00A75E02">
        <w:rPr>
          <w:rFonts w:ascii="Times New Roman" w:hAnsi="Times New Roman"/>
          <w:i/>
          <w:sz w:val="24"/>
          <w:szCs w:val="24"/>
        </w:rPr>
        <w:t>and</w:t>
      </w:r>
      <w:r w:rsidR="001601D9">
        <w:rPr>
          <w:rFonts w:ascii="Times New Roman" w:hAnsi="Times New Roman"/>
          <w:i/>
          <w:sz w:val="24"/>
          <w:szCs w:val="24"/>
        </w:rPr>
        <w:t xml:space="preserve"> </w:t>
      </w:r>
      <w:r w:rsidRPr="00A75E02">
        <w:rPr>
          <w:rFonts w:ascii="Times New Roman" w:hAnsi="Times New Roman"/>
          <w:i/>
          <w:sz w:val="24"/>
          <w:szCs w:val="24"/>
        </w:rPr>
        <w:t>national minorities and migrants and of the concrete results of the application of the State’s anti-discrimination legislation and relevant plans, programmes and strategies.</w:t>
      </w:r>
      <w:proofErr w:type="gramEnd"/>
    </w:p>
    <w:p w14:paraId="6070A0C7" w14:textId="77777777" w:rsidR="00F73DFD" w:rsidRPr="00A75E02" w:rsidRDefault="005332EE" w:rsidP="00742FA3">
      <w:pPr>
        <w:spacing w:before="100" w:beforeAutospacing="1" w:after="100" w:afterAutospacing="1" w:line="240" w:lineRule="auto"/>
        <w:jc w:val="both"/>
        <w:rPr>
          <w:rFonts w:ascii="Times New Roman" w:hAnsi="Times New Roman" w:cs="Times New Roman"/>
          <w:sz w:val="24"/>
          <w:szCs w:val="24"/>
        </w:rPr>
      </w:pPr>
      <w:proofErr w:type="gramStart"/>
      <w:r w:rsidRPr="00A75E02">
        <w:rPr>
          <w:rFonts w:ascii="Times New Roman" w:hAnsi="Times New Roman"/>
          <w:sz w:val="24"/>
          <w:szCs w:val="24"/>
        </w:rPr>
        <w:t xml:space="preserve">9. On the basis of </w:t>
      </w:r>
      <w:r w:rsidR="00A027CD" w:rsidRPr="00A75E02">
        <w:rPr>
          <w:rFonts w:ascii="Times New Roman" w:hAnsi="Times New Roman"/>
          <w:sz w:val="24"/>
          <w:szCs w:val="24"/>
        </w:rPr>
        <w:t xml:space="preserve">the </w:t>
      </w:r>
      <w:r w:rsidR="004E674D" w:rsidRPr="00A75E02">
        <w:rPr>
          <w:rFonts w:ascii="Times New Roman" w:hAnsi="Times New Roman"/>
          <w:sz w:val="24"/>
          <w:szCs w:val="24"/>
        </w:rPr>
        <w:t xml:space="preserve">data of the </w:t>
      </w:r>
      <w:r w:rsidRPr="00A75E02">
        <w:rPr>
          <w:rFonts w:ascii="Times New Roman" w:hAnsi="Times New Roman"/>
          <w:sz w:val="24"/>
          <w:szCs w:val="24"/>
        </w:rPr>
        <w:t>Population and Housing Census</w:t>
      </w:r>
      <w:proofErr w:type="gramEnd"/>
      <w:r w:rsidRPr="00A75E02">
        <w:rPr>
          <w:rFonts w:ascii="Times New Roman" w:hAnsi="Times New Roman"/>
          <w:sz w:val="24"/>
          <w:szCs w:val="24"/>
        </w:rPr>
        <w:t xml:space="preserve"> the Department of Statistics (Statistics Lithuania) prepares statistical information on Lithuania’s permanent residents by nationality.</w:t>
      </w:r>
      <w:r w:rsidR="001601D9">
        <w:rPr>
          <w:rFonts w:ascii="Times New Roman" w:hAnsi="Times New Roman"/>
          <w:sz w:val="24"/>
          <w:szCs w:val="24"/>
        </w:rPr>
        <w:t xml:space="preserve"> </w:t>
      </w:r>
      <w:r w:rsidRPr="00A75E02">
        <w:rPr>
          <w:rFonts w:ascii="Times New Roman" w:hAnsi="Times New Roman"/>
          <w:sz w:val="24"/>
          <w:szCs w:val="24"/>
        </w:rPr>
        <w:t xml:space="preserve">The sixth, seventh and eighth periodic report of Lithuania contained data on residents by nationality </w:t>
      </w:r>
      <w:proofErr w:type="gramStart"/>
      <w:r w:rsidRPr="00A75E02">
        <w:rPr>
          <w:rFonts w:ascii="Times New Roman" w:hAnsi="Times New Roman"/>
          <w:sz w:val="24"/>
          <w:szCs w:val="24"/>
        </w:rPr>
        <w:t>on the basis of</w:t>
      </w:r>
      <w:proofErr w:type="gramEnd"/>
      <w:r w:rsidRPr="00A75E02">
        <w:rPr>
          <w:rFonts w:ascii="Times New Roman" w:hAnsi="Times New Roman"/>
          <w:sz w:val="24"/>
          <w:szCs w:val="24"/>
        </w:rPr>
        <w:t xml:space="preserve"> 2011 Population and Housing Census.</w:t>
      </w:r>
    </w:p>
    <w:p w14:paraId="5BD4E42F" w14:textId="77777777" w:rsidR="0007548F" w:rsidRPr="00A75E02" w:rsidRDefault="005332EE" w:rsidP="00742FA3">
      <w:pPr>
        <w:spacing w:before="100" w:beforeAutospacing="1" w:after="100" w:afterAutospacing="1" w:line="240" w:lineRule="auto"/>
        <w:jc w:val="both"/>
        <w:rPr>
          <w:rFonts w:ascii="Times New Roman" w:hAnsi="Times New Roman" w:cs="Times New Roman"/>
          <w:sz w:val="24"/>
          <w:szCs w:val="24"/>
        </w:rPr>
      </w:pPr>
      <w:proofErr w:type="gramStart"/>
      <w:r w:rsidRPr="00A75E02">
        <w:rPr>
          <w:rFonts w:ascii="Times New Roman" w:hAnsi="Times New Roman"/>
          <w:sz w:val="24"/>
          <w:szCs w:val="24"/>
        </w:rPr>
        <w:lastRenderedPageBreak/>
        <w:t>10. On the basis of the data of the Lithuanian Population Register</w:t>
      </w:r>
      <w:proofErr w:type="gramEnd"/>
      <w:r w:rsidRPr="00A75E02">
        <w:rPr>
          <w:rFonts w:ascii="Times New Roman" w:hAnsi="Times New Roman"/>
          <w:sz w:val="24"/>
          <w:szCs w:val="24"/>
        </w:rPr>
        <w:t xml:space="preserve"> an assessment is performed each year to determine the number of permanent residents by nationality. The Department of Statistics </w:t>
      </w:r>
      <w:r w:rsidR="00622CAF" w:rsidRPr="00A75E02">
        <w:rPr>
          <w:rFonts w:ascii="Times New Roman" w:hAnsi="Times New Roman"/>
          <w:sz w:val="24"/>
          <w:szCs w:val="24"/>
        </w:rPr>
        <w:t xml:space="preserve">of Lithuania </w:t>
      </w:r>
      <w:r w:rsidRPr="00A75E02">
        <w:rPr>
          <w:rFonts w:ascii="Times New Roman" w:hAnsi="Times New Roman"/>
          <w:sz w:val="24"/>
          <w:szCs w:val="24"/>
        </w:rPr>
        <w:t>presents statistical information on permanent residents by nationality for the period of 2014-2016 (refer to Annex I).</w:t>
      </w:r>
    </w:p>
    <w:p w14:paraId="1142BC83" w14:textId="77777777" w:rsidR="004024CC" w:rsidRPr="00A75E02" w:rsidRDefault="004024CC" w:rsidP="00742FA3">
      <w:pPr>
        <w:spacing w:before="100" w:beforeAutospacing="1" w:after="100" w:afterAutospacing="1" w:line="240" w:lineRule="auto"/>
        <w:jc w:val="both"/>
        <w:rPr>
          <w:rFonts w:ascii="Times New Roman" w:eastAsia="Times New Roman" w:hAnsi="Times New Roman" w:cs="Times New Roman"/>
          <w:i/>
          <w:color w:val="000000"/>
          <w:sz w:val="24"/>
          <w:szCs w:val="24"/>
        </w:rPr>
      </w:pPr>
      <w:r w:rsidRPr="00A75E02">
        <w:rPr>
          <w:rFonts w:ascii="Times New Roman" w:hAnsi="Times New Roman"/>
          <w:i/>
          <w:color w:val="000000"/>
          <w:sz w:val="24"/>
          <w:szCs w:val="24"/>
        </w:rPr>
        <w:t>The Committee recommends that the State party establish an independent national human rights institution with a broad mandate and provide it with adequate financial and human resources, in full compliance with the Paris Principles. The Committee encourages the State party to seek the support and advice of the Office of the United Nations High Commissioner for Human Rights in that process.</w:t>
      </w:r>
    </w:p>
    <w:p w14:paraId="4846B479" w14:textId="61C3E30F" w:rsidR="000661D3" w:rsidRPr="00A75E02" w:rsidRDefault="005332EE" w:rsidP="00742FA3">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11. The </w:t>
      </w:r>
      <w:proofErr w:type="spellStart"/>
      <w:r w:rsidR="000B15F8" w:rsidRPr="000B15F8">
        <w:rPr>
          <w:rFonts w:ascii="Times New Roman" w:hAnsi="Times New Roman"/>
          <w:sz w:val="24"/>
          <w:szCs w:val="24"/>
        </w:rPr>
        <w:t>Seimas</w:t>
      </w:r>
      <w:proofErr w:type="spellEnd"/>
      <w:r w:rsidR="000B15F8" w:rsidRPr="000B15F8">
        <w:rPr>
          <w:rFonts w:ascii="Times New Roman" w:hAnsi="Times New Roman"/>
          <w:sz w:val="24"/>
          <w:szCs w:val="24"/>
        </w:rPr>
        <w:t xml:space="preserve"> Ombudsmen’s Office</w:t>
      </w:r>
      <w:r w:rsidR="000B15F8">
        <w:rPr>
          <w:rFonts w:ascii="Times New Roman" w:hAnsi="Times New Roman"/>
          <w:sz w:val="24"/>
          <w:szCs w:val="24"/>
        </w:rPr>
        <w:t xml:space="preserve"> (</w:t>
      </w:r>
      <w:r w:rsidR="000B15F8" w:rsidRPr="000B15F8">
        <w:rPr>
          <w:rFonts w:ascii="Times New Roman" w:hAnsi="Times New Roman"/>
          <w:sz w:val="24"/>
          <w:szCs w:val="24"/>
        </w:rPr>
        <w:t>hereinafter referred to as</w:t>
      </w:r>
      <w:r w:rsidR="000B15F8">
        <w:rPr>
          <w:rFonts w:ascii="Times New Roman" w:hAnsi="Times New Roman"/>
          <w:sz w:val="24"/>
          <w:szCs w:val="24"/>
        </w:rPr>
        <w:t xml:space="preserve"> SOO)</w:t>
      </w:r>
      <w:r w:rsidR="000B15F8" w:rsidRPr="000B15F8">
        <w:rPr>
          <w:rFonts w:ascii="Times New Roman" w:hAnsi="Times New Roman"/>
          <w:sz w:val="24"/>
          <w:szCs w:val="24"/>
        </w:rPr>
        <w:t xml:space="preserve"> </w:t>
      </w:r>
      <w:r w:rsidR="000B4864" w:rsidRPr="00A75E02">
        <w:rPr>
          <w:rFonts w:ascii="Times New Roman" w:hAnsi="Times New Roman"/>
          <w:sz w:val="24"/>
          <w:szCs w:val="24"/>
        </w:rPr>
        <w:t>is</w:t>
      </w:r>
      <w:r w:rsidRPr="00A75E02">
        <w:rPr>
          <w:rFonts w:ascii="Times New Roman" w:hAnsi="Times New Roman"/>
          <w:sz w:val="24"/>
          <w:szCs w:val="24"/>
        </w:rPr>
        <w:t xml:space="preserve"> accredited as </w:t>
      </w:r>
      <w:proofErr w:type="gramStart"/>
      <w:r w:rsidRPr="00A75E02">
        <w:rPr>
          <w:rFonts w:ascii="Times New Roman" w:hAnsi="Times New Roman"/>
          <w:sz w:val="24"/>
          <w:szCs w:val="24"/>
        </w:rPr>
        <w:t>A</w:t>
      </w:r>
      <w:proofErr w:type="gramEnd"/>
      <w:r w:rsidRPr="00A75E02">
        <w:rPr>
          <w:rFonts w:ascii="Times New Roman" w:hAnsi="Times New Roman"/>
          <w:sz w:val="24"/>
          <w:szCs w:val="24"/>
        </w:rPr>
        <w:t xml:space="preserve"> level national human rights institution by the United Nations. Decision on the accreditation </w:t>
      </w:r>
      <w:proofErr w:type="gramStart"/>
      <w:r w:rsidRPr="00A75E02">
        <w:rPr>
          <w:rFonts w:ascii="Times New Roman" w:hAnsi="Times New Roman"/>
          <w:sz w:val="24"/>
          <w:szCs w:val="24"/>
        </w:rPr>
        <w:t>was taken</w:t>
      </w:r>
      <w:proofErr w:type="gramEnd"/>
      <w:r w:rsidRPr="00A75E02">
        <w:rPr>
          <w:rFonts w:ascii="Times New Roman" w:hAnsi="Times New Roman"/>
          <w:sz w:val="24"/>
          <w:szCs w:val="24"/>
        </w:rPr>
        <w:t xml:space="preserve"> during the session of </w:t>
      </w:r>
      <w:r w:rsidR="00E31FBE" w:rsidRPr="00A75E02">
        <w:rPr>
          <w:rFonts w:ascii="Times New Roman" w:hAnsi="Times New Roman"/>
          <w:sz w:val="24"/>
          <w:szCs w:val="24"/>
        </w:rPr>
        <w:t>A</w:t>
      </w:r>
      <w:r w:rsidRPr="00A75E02">
        <w:rPr>
          <w:rFonts w:ascii="Times New Roman" w:hAnsi="Times New Roman"/>
          <w:sz w:val="24"/>
          <w:szCs w:val="24"/>
        </w:rPr>
        <w:t>ccreditation subcommittee of the Global Alliance for National Human Rights Institutions that took place on 13-17 March 2017.</w:t>
      </w:r>
    </w:p>
    <w:p w14:paraId="5B86595A" w14:textId="796380C7" w:rsidR="000B3419" w:rsidRPr="00A75E02" w:rsidRDefault="005332EE" w:rsidP="000B3419">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color w:val="000000"/>
          <w:sz w:val="24"/>
          <w:szCs w:val="24"/>
        </w:rPr>
        <w:t xml:space="preserve">12. </w:t>
      </w:r>
      <w:r w:rsidR="00A57395" w:rsidRPr="00A57395">
        <w:rPr>
          <w:rFonts w:ascii="Times New Roman" w:hAnsi="Times New Roman"/>
          <w:color w:val="000000"/>
          <w:sz w:val="24"/>
          <w:szCs w:val="24"/>
        </w:rPr>
        <w:t xml:space="preserve">On 1 January 2018, amendments to the Law on the </w:t>
      </w:r>
      <w:proofErr w:type="spellStart"/>
      <w:r w:rsidR="00A57395" w:rsidRPr="00A57395">
        <w:rPr>
          <w:rFonts w:ascii="Times New Roman" w:hAnsi="Times New Roman"/>
          <w:color w:val="000000"/>
          <w:sz w:val="24"/>
          <w:szCs w:val="24"/>
        </w:rPr>
        <w:t>Seimas</w:t>
      </w:r>
      <w:proofErr w:type="spellEnd"/>
      <w:r w:rsidR="00A57395" w:rsidRPr="00A57395">
        <w:rPr>
          <w:rFonts w:ascii="Times New Roman" w:hAnsi="Times New Roman"/>
          <w:color w:val="000000"/>
          <w:sz w:val="24"/>
          <w:szCs w:val="24"/>
        </w:rPr>
        <w:t xml:space="preserve"> Ombudsmen came into force, providing new functions for the </w:t>
      </w:r>
      <w:proofErr w:type="spellStart"/>
      <w:r w:rsidR="00A57395" w:rsidRPr="00A57395">
        <w:rPr>
          <w:rFonts w:ascii="Times New Roman" w:hAnsi="Times New Roman"/>
          <w:color w:val="000000"/>
          <w:sz w:val="24"/>
          <w:szCs w:val="24"/>
        </w:rPr>
        <w:t>Seimas</w:t>
      </w:r>
      <w:proofErr w:type="spellEnd"/>
      <w:r w:rsidR="00A57395" w:rsidRPr="00A57395">
        <w:rPr>
          <w:rFonts w:ascii="Times New Roman" w:hAnsi="Times New Roman"/>
          <w:color w:val="000000"/>
          <w:sz w:val="24"/>
          <w:szCs w:val="24"/>
        </w:rPr>
        <w:t xml:space="preserve"> Ombudsmen, among which are the dissemination and monitoring of human rights in the country.  The new functions include presenting the assessment of the human rights situation in Lithuania to international organisations and providing them with information regarding the obligations established in the international treaties of the Republic of Lithuania.</w:t>
      </w:r>
    </w:p>
    <w:p w14:paraId="4C1EB1E7" w14:textId="77777777" w:rsidR="001C583B" w:rsidRPr="00A75E02" w:rsidRDefault="001C583B"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The</w:t>
      </w:r>
      <w:r w:rsidR="001601D9">
        <w:rPr>
          <w:rFonts w:ascii="Times New Roman" w:hAnsi="Times New Roman"/>
          <w:i/>
          <w:sz w:val="24"/>
          <w:szCs w:val="24"/>
        </w:rPr>
        <w:t xml:space="preserve"> </w:t>
      </w:r>
      <w:r w:rsidRPr="00A75E02">
        <w:rPr>
          <w:rFonts w:ascii="Times New Roman" w:hAnsi="Times New Roman"/>
          <w:i/>
          <w:sz w:val="24"/>
          <w:szCs w:val="24"/>
        </w:rPr>
        <w:t xml:space="preserve"> Committee</w:t>
      </w:r>
      <w:r w:rsidR="001601D9">
        <w:rPr>
          <w:rFonts w:ascii="Times New Roman" w:hAnsi="Times New Roman"/>
          <w:i/>
          <w:sz w:val="24"/>
          <w:szCs w:val="24"/>
        </w:rPr>
        <w:t xml:space="preserve"> </w:t>
      </w:r>
      <w:r w:rsidRPr="00A75E02">
        <w:rPr>
          <w:rFonts w:ascii="Times New Roman" w:hAnsi="Times New Roman"/>
          <w:i/>
          <w:sz w:val="24"/>
          <w:szCs w:val="24"/>
        </w:rPr>
        <w:t xml:space="preserve"> recommends</w:t>
      </w:r>
      <w:r w:rsidR="001601D9">
        <w:rPr>
          <w:rFonts w:ascii="Times New Roman" w:hAnsi="Times New Roman"/>
          <w:i/>
          <w:sz w:val="24"/>
          <w:szCs w:val="24"/>
        </w:rPr>
        <w:t xml:space="preserve"> </w:t>
      </w:r>
      <w:r w:rsidRPr="00A75E02">
        <w:rPr>
          <w:rFonts w:ascii="Times New Roman" w:hAnsi="Times New Roman"/>
          <w:i/>
          <w:sz w:val="24"/>
          <w:szCs w:val="24"/>
        </w:rPr>
        <w:t xml:space="preserve"> that</w:t>
      </w:r>
      <w:r w:rsidR="001601D9">
        <w:rPr>
          <w:rFonts w:ascii="Times New Roman" w:hAnsi="Times New Roman"/>
          <w:i/>
          <w:sz w:val="24"/>
          <w:szCs w:val="24"/>
        </w:rPr>
        <w:t xml:space="preserve"> </w:t>
      </w:r>
      <w:r w:rsidRPr="00A75E02">
        <w:rPr>
          <w:rFonts w:ascii="Times New Roman" w:hAnsi="Times New Roman"/>
          <w:i/>
          <w:sz w:val="24"/>
          <w:szCs w:val="24"/>
        </w:rPr>
        <w:t xml:space="preserve"> the</w:t>
      </w:r>
      <w:r w:rsidR="001601D9">
        <w:rPr>
          <w:rFonts w:ascii="Times New Roman" w:hAnsi="Times New Roman"/>
          <w:i/>
          <w:sz w:val="24"/>
          <w:szCs w:val="24"/>
        </w:rPr>
        <w:t xml:space="preserve"> </w:t>
      </w:r>
      <w:r w:rsidRPr="00A75E02">
        <w:rPr>
          <w:rFonts w:ascii="Times New Roman" w:hAnsi="Times New Roman"/>
          <w:i/>
          <w:sz w:val="24"/>
          <w:szCs w:val="24"/>
        </w:rPr>
        <w:t xml:space="preserve"> State</w:t>
      </w:r>
      <w:r w:rsidR="001601D9">
        <w:rPr>
          <w:rFonts w:ascii="Times New Roman" w:hAnsi="Times New Roman"/>
          <w:i/>
          <w:sz w:val="24"/>
          <w:szCs w:val="24"/>
        </w:rPr>
        <w:t xml:space="preserve"> </w:t>
      </w:r>
      <w:r w:rsidRPr="00A75E02">
        <w:rPr>
          <w:rFonts w:ascii="Times New Roman" w:hAnsi="Times New Roman"/>
          <w:i/>
          <w:sz w:val="24"/>
          <w:szCs w:val="24"/>
        </w:rPr>
        <w:t xml:space="preserve"> party</w:t>
      </w:r>
      <w:r w:rsidR="001601D9">
        <w:rPr>
          <w:rFonts w:ascii="Times New Roman" w:hAnsi="Times New Roman"/>
          <w:i/>
          <w:sz w:val="24"/>
          <w:szCs w:val="24"/>
        </w:rPr>
        <w:t xml:space="preserve"> </w:t>
      </w:r>
      <w:r w:rsidRPr="00A75E02">
        <w:rPr>
          <w:rFonts w:ascii="Times New Roman" w:hAnsi="Times New Roman"/>
          <w:i/>
          <w:sz w:val="24"/>
          <w:szCs w:val="24"/>
        </w:rPr>
        <w:t xml:space="preserve"> provide</w:t>
      </w:r>
      <w:r w:rsidR="001601D9">
        <w:rPr>
          <w:rFonts w:ascii="Times New Roman" w:hAnsi="Times New Roman"/>
          <w:i/>
          <w:sz w:val="24"/>
          <w:szCs w:val="24"/>
        </w:rPr>
        <w:t xml:space="preserve"> </w:t>
      </w:r>
      <w:r w:rsidRPr="00A75E02">
        <w:rPr>
          <w:rFonts w:ascii="Times New Roman" w:hAnsi="Times New Roman"/>
          <w:i/>
          <w:sz w:val="24"/>
          <w:szCs w:val="24"/>
        </w:rPr>
        <w:t xml:space="preserve"> the</w:t>
      </w:r>
      <w:r w:rsidR="001601D9">
        <w:rPr>
          <w:rFonts w:ascii="Times New Roman" w:hAnsi="Times New Roman"/>
          <w:i/>
          <w:sz w:val="24"/>
          <w:szCs w:val="24"/>
        </w:rPr>
        <w:t xml:space="preserve"> </w:t>
      </w:r>
      <w:r w:rsidRPr="00A75E02">
        <w:rPr>
          <w:rFonts w:ascii="Times New Roman" w:hAnsi="Times New Roman"/>
          <w:i/>
          <w:sz w:val="24"/>
          <w:szCs w:val="24"/>
        </w:rPr>
        <w:t xml:space="preserve"> Equal Opportunities Ombudsman and the Department of National Minorities with sufficient resources to enable them to fully and properly implement their mandates.</w:t>
      </w:r>
    </w:p>
    <w:p w14:paraId="509BCD73" w14:textId="7BA98B0E" w:rsidR="000661D3" w:rsidRPr="00A75E02" w:rsidRDefault="00851C3C" w:rsidP="00742FA3">
      <w:pPr>
        <w:spacing w:before="100" w:beforeAutospacing="1" w:after="100" w:afterAutospacing="1" w:line="240" w:lineRule="auto"/>
        <w:jc w:val="both"/>
        <w:rPr>
          <w:rFonts w:ascii="Times New Roman" w:hAnsi="Times New Roman" w:cs="Times New Roman"/>
          <w:bCs/>
          <w:sz w:val="24"/>
          <w:szCs w:val="24"/>
        </w:rPr>
      </w:pPr>
      <w:r w:rsidRPr="00A75E02">
        <w:rPr>
          <w:rFonts w:ascii="Times New Roman" w:hAnsi="Times New Roman"/>
          <w:bCs/>
          <w:sz w:val="24"/>
          <w:szCs w:val="24"/>
        </w:rPr>
        <w:t>13. In line with the Resolution No 1300 of the Government of the Republic of Lithuania</w:t>
      </w:r>
      <w:r w:rsidR="00337B09" w:rsidRPr="00A75E02">
        <w:rPr>
          <w:rFonts w:ascii="Times New Roman" w:hAnsi="Times New Roman"/>
          <w:bCs/>
          <w:sz w:val="24"/>
          <w:szCs w:val="24"/>
        </w:rPr>
        <w:t>,</w:t>
      </w:r>
      <w:r w:rsidRPr="00A75E02">
        <w:rPr>
          <w:rFonts w:ascii="Times New Roman" w:hAnsi="Times New Roman"/>
          <w:bCs/>
          <w:sz w:val="24"/>
          <w:szCs w:val="24"/>
        </w:rPr>
        <w:t xml:space="preserve"> </w:t>
      </w:r>
      <w:r w:rsidR="00E45785" w:rsidRPr="00A75E02">
        <w:rPr>
          <w:rFonts w:ascii="Times New Roman" w:hAnsi="Times New Roman"/>
          <w:bCs/>
          <w:sz w:val="24"/>
          <w:szCs w:val="24"/>
        </w:rPr>
        <w:t>o</w:t>
      </w:r>
      <w:r w:rsidR="00337B09" w:rsidRPr="00A75E02">
        <w:rPr>
          <w:rFonts w:ascii="Times New Roman" w:hAnsi="Times New Roman"/>
          <w:bCs/>
          <w:sz w:val="24"/>
          <w:szCs w:val="24"/>
        </w:rPr>
        <w:t>n</w:t>
      </w:r>
      <w:r w:rsidR="00E45785" w:rsidRPr="00A75E02">
        <w:rPr>
          <w:rFonts w:ascii="Times New Roman" w:hAnsi="Times New Roman"/>
          <w:bCs/>
          <w:sz w:val="24"/>
          <w:szCs w:val="24"/>
        </w:rPr>
        <w:t xml:space="preserve"> </w:t>
      </w:r>
      <w:r w:rsidR="00337B09" w:rsidRPr="00A75E02">
        <w:rPr>
          <w:rFonts w:ascii="Times New Roman" w:hAnsi="Times New Roman"/>
          <w:bCs/>
          <w:sz w:val="24"/>
          <w:szCs w:val="24"/>
        </w:rPr>
        <w:t xml:space="preserve">1 July 2015 </w:t>
      </w:r>
      <w:r w:rsidRPr="00A75E02">
        <w:rPr>
          <w:rFonts w:ascii="Times New Roman" w:hAnsi="Times New Roman"/>
          <w:bCs/>
          <w:sz w:val="24"/>
          <w:szCs w:val="24"/>
        </w:rPr>
        <w:t xml:space="preserve">the re-established National Minorities Department under the Government of the Republic of Lithuania (hereinafter referred to as </w:t>
      </w:r>
      <w:r w:rsidR="008064E5" w:rsidRPr="00A75E02">
        <w:rPr>
          <w:rFonts w:ascii="Times New Roman" w:hAnsi="Times New Roman"/>
          <w:bCs/>
          <w:sz w:val="24"/>
          <w:szCs w:val="24"/>
        </w:rPr>
        <w:t xml:space="preserve">the </w:t>
      </w:r>
      <w:r w:rsidRPr="00A75E02">
        <w:rPr>
          <w:rFonts w:ascii="Times New Roman" w:hAnsi="Times New Roman"/>
          <w:bCs/>
          <w:sz w:val="24"/>
          <w:szCs w:val="24"/>
        </w:rPr>
        <w:t xml:space="preserve">NMD) started its operation as an institution responsible for the implementation of national </w:t>
      </w:r>
      <w:proofErr w:type="gramStart"/>
      <w:r w:rsidRPr="00A75E02">
        <w:rPr>
          <w:rFonts w:ascii="Times New Roman" w:hAnsi="Times New Roman"/>
          <w:bCs/>
          <w:sz w:val="24"/>
          <w:szCs w:val="24"/>
        </w:rPr>
        <w:t>minorities</w:t>
      </w:r>
      <w:proofErr w:type="gramEnd"/>
      <w:r w:rsidRPr="00A75E02">
        <w:rPr>
          <w:rFonts w:ascii="Times New Roman" w:hAnsi="Times New Roman"/>
          <w:bCs/>
          <w:sz w:val="24"/>
          <w:szCs w:val="24"/>
        </w:rPr>
        <w:t xml:space="preserve"> policy. The administration of the </w:t>
      </w:r>
      <w:r w:rsidR="00D17EC7">
        <w:rPr>
          <w:rFonts w:ascii="Times New Roman" w:hAnsi="Times New Roman"/>
          <w:bCs/>
          <w:sz w:val="24"/>
          <w:szCs w:val="24"/>
        </w:rPr>
        <w:t>NMD</w:t>
      </w:r>
      <w:r w:rsidR="00D17EC7" w:rsidRPr="00A75E02">
        <w:rPr>
          <w:rFonts w:ascii="Times New Roman" w:hAnsi="Times New Roman"/>
          <w:bCs/>
          <w:sz w:val="24"/>
          <w:szCs w:val="24"/>
        </w:rPr>
        <w:t xml:space="preserve"> </w:t>
      </w:r>
      <w:r w:rsidRPr="00A75E02">
        <w:rPr>
          <w:rFonts w:ascii="Times New Roman" w:hAnsi="Times New Roman"/>
          <w:bCs/>
          <w:sz w:val="24"/>
          <w:szCs w:val="24"/>
        </w:rPr>
        <w:t xml:space="preserve">comprises of </w:t>
      </w:r>
      <w:r w:rsidR="006A0286" w:rsidRPr="00A75E02">
        <w:rPr>
          <w:rFonts w:ascii="Times New Roman" w:hAnsi="Times New Roman"/>
          <w:bCs/>
          <w:sz w:val="24"/>
          <w:szCs w:val="24"/>
        </w:rPr>
        <w:t xml:space="preserve">the </w:t>
      </w:r>
      <w:r w:rsidRPr="00A75E02">
        <w:rPr>
          <w:rFonts w:ascii="Times New Roman" w:hAnsi="Times New Roman"/>
          <w:bCs/>
          <w:sz w:val="24"/>
          <w:szCs w:val="24"/>
        </w:rPr>
        <w:t xml:space="preserve">National Communities Liaison Unit, </w:t>
      </w:r>
      <w:r w:rsidR="00111B4A" w:rsidRPr="00A75E02">
        <w:rPr>
          <w:rFonts w:ascii="Times New Roman" w:hAnsi="Times New Roman"/>
          <w:bCs/>
          <w:sz w:val="24"/>
          <w:szCs w:val="24"/>
        </w:rPr>
        <w:t xml:space="preserve">the </w:t>
      </w:r>
      <w:r w:rsidRPr="00A75E02">
        <w:rPr>
          <w:rFonts w:ascii="Times New Roman" w:hAnsi="Times New Roman"/>
          <w:bCs/>
          <w:sz w:val="24"/>
          <w:szCs w:val="24"/>
        </w:rPr>
        <w:t>National Minorities Policy Analysis and Information Unit</w:t>
      </w:r>
      <w:r w:rsidR="00111B4A" w:rsidRPr="00A75E02">
        <w:rPr>
          <w:rFonts w:ascii="Times New Roman" w:hAnsi="Times New Roman"/>
          <w:bCs/>
          <w:sz w:val="24"/>
          <w:szCs w:val="24"/>
        </w:rPr>
        <w:t xml:space="preserve"> and</w:t>
      </w:r>
      <w:r w:rsidRPr="00A75E02">
        <w:rPr>
          <w:rFonts w:ascii="Times New Roman" w:hAnsi="Times New Roman"/>
          <w:bCs/>
          <w:sz w:val="24"/>
          <w:szCs w:val="24"/>
        </w:rPr>
        <w:t xml:space="preserve"> </w:t>
      </w:r>
      <w:r w:rsidR="00111B4A" w:rsidRPr="00A75E02">
        <w:rPr>
          <w:rFonts w:ascii="Times New Roman" w:hAnsi="Times New Roman"/>
          <w:bCs/>
          <w:sz w:val="24"/>
          <w:szCs w:val="24"/>
        </w:rPr>
        <w:t xml:space="preserve">the </w:t>
      </w:r>
      <w:r w:rsidRPr="00A75E02">
        <w:rPr>
          <w:rFonts w:ascii="Times New Roman" w:hAnsi="Times New Roman"/>
          <w:bCs/>
          <w:sz w:val="24"/>
          <w:szCs w:val="24"/>
        </w:rPr>
        <w:t>Administrat</w:t>
      </w:r>
      <w:r w:rsidR="007915FE">
        <w:rPr>
          <w:rFonts w:ascii="Times New Roman" w:hAnsi="Times New Roman"/>
          <w:bCs/>
          <w:sz w:val="24"/>
          <w:szCs w:val="24"/>
        </w:rPr>
        <w:t>ion Unit. The Department consists of</w:t>
      </w:r>
      <w:r w:rsidRPr="00A75E02">
        <w:rPr>
          <w:rFonts w:ascii="Times New Roman" w:hAnsi="Times New Roman"/>
          <w:bCs/>
          <w:sz w:val="24"/>
          <w:szCs w:val="24"/>
        </w:rPr>
        <w:t xml:space="preserve"> 14 employees in total.</w:t>
      </w:r>
    </w:p>
    <w:p w14:paraId="04258927" w14:textId="2851869C" w:rsidR="001C583B" w:rsidRPr="00A75E02" w:rsidRDefault="00851C3C" w:rsidP="00742FA3">
      <w:pPr>
        <w:spacing w:before="100" w:beforeAutospacing="1" w:after="100" w:afterAutospacing="1" w:line="240" w:lineRule="auto"/>
        <w:jc w:val="both"/>
        <w:rPr>
          <w:rFonts w:ascii="Times New Roman" w:hAnsi="Times New Roman" w:cs="Times New Roman"/>
          <w:bCs/>
          <w:sz w:val="24"/>
          <w:szCs w:val="24"/>
        </w:rPr>
      </w:pPr>
      <w:r w:rsidRPr="00A75E02">
        <w:rPr>
          <w:rFonts w:ascii="Times New Roman" w:hAnsi="Times New Roman"/>
          <w:bCs/>
          <w:sz w:val="24"/>
          <w:szCs w:val="24"/>
        </w:rPr>
        <w:t xml:space="preserve">14. The </w:t>
      </w:r>
      <w:r w:rsidR="00D17EC7">
        <w:rPr>
          <w:rFonts w:ascii="Times New Roman" w:hAnsi="Times New Roman"/>
          <w:bCs/>
          <w:sz w:val="24"/>
          <w:szCs w:val="24"/>
        </w:rPr>
        <w:t>NMD</w:t>
      </w:r>
      <w:r w:rsidR="00D17EC7" w:rsidRPr="00A75E02">
        <w:rPr>
          <w:rFonts w:ascii="Times New Roman" w:hAnsi="Times New Roman"/>
          <w:bCs/>
          <w:sz w:val="24"/>
          <w:szCs w:val="24"/>
        </w:rPr>
        <w:t xml:space="preserve"> </w:t>
      </w:r>
      <w:proofErr w:type="gramStart"/>
      <w:r w:rsidRPr="00A75E02">
        <w:rPr>
          <w:rFonts w:ascii="Times New Roman" w:hAnsi="Times New Roman"/>
          <w:bCs/>
          <w:sz w:val="24"/>
          <w:szCs w:val="24"/>
        </w:rPr>
        <w:t>is financed</w:t>
      </w:r>
      <w:proofErr w:type="gramEnd"/>
      <w:r w:rsidRPr="00A75E02">
        <w:rPr>
          <w:rFonts w:ascii="Times New Roman" w:hAnsi="Times New Roman"/>
          <w:bCs/>
          <w:sz w:val="24"/>
          <w:szCs w:val="24"/>
        </w:rPr>
        <w:t xml:space="preserve"> f</w:t>
      </w:r>
      <w:r w:rsidR="007915FE">
        <w:rPr>
          <w:rFonts w:ascii="Times New Roman" w:hAnsi="Times New Roman"/>
          <w:bCs/>
          <w:sz w:val="24"/>
          <w:szCs w:val="24"/>
        </w:rPr>
        <w:t>rom</w:t>
      </w:r>
      <w:r w:rsidRPr="00A75E02">
        <w:rPr>
          <w:rFonts w:ascii="Times New Roman" w:hAnsi="Times New Roman"/>
          <w:bCs/>
          <w:sz w:val="24"/>
          <w:szCs w:val="24"/>
        </w:rPr>
        <w:t xml:space="preserve"> the State budget of the Republic of Lithuania.</w:t>
      </w:r>
    </w:p>
    <w:p w14:paraId="2F0B3E83" w14:textId="011DE95F" w:rsidR="001C583B" w:rsidRPr="00A75E02" w:rsidRDefault="00851C3C"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15. The</w:t>
      </w:r>
      <w:r w:rsidR="00894BF9" w:rsidRPr="00894BF9">
        <w:t xml:space="preserve"> </w:t>
      </w:r>
      <w:r w:rsidR="00894BF9" w:rsidRPr="00894BF9">
        <w:rPr>
          <w:rFonts w:ascii="Times New Roman" w:hAnsi="Times New Roman"/>
          <w:sz w:val="24"/>
          <w:szCs w:val="24"/>
        </w:rPr>
        <w:t>Office of the Equal Opportunities Ombudsperson</w:t>
      </w:r>
      <w:r w:rsidRPr="00A75E02">
        <w:rPr>
          <w:rFonts w:ascii="Times New Roman" w:hAnsi="Times New Roman"/>
          <w:sz w:val="24"/>
          <w:szCs w:val="24"/>
        </w:rPr>
        <w:t xml:space="preserve"> </w:t>
      </w:r>
      <w:r w:rsidR="00894BF9">
        <w:rPr>
          <w:rFonts w:ascii="Times New Roman" w:hAnsi="Times New Roman"/>
          <w:sz w:val="24"/>
          <w:szCs w:val="24"/>
        </w:rPr>
        <w:t xml:space="preserve">(hereinafter referred to as the </w:t>
      </w:r>
      <w:r w:rsidR="00D17EC7">
        <w:rPr>
          <w:rFonts w:ascii="Times New Roman" w:hAnsi="Times New Roman"/>
          <w:sz w:val="24"/>
          <w:szCs w:val="24"/>
        </w:rPr>
        <w:t>OEOO</w:t>
      </w:r>
      <w:r w:rsidR="00894BF9">
        <w:rPr>
          <w:rFonts w:ascii="Times New Roman" w:hAnsi="Times New Roman"/>
          <w:sz w:val="24"/>
          <w:szCs w:val="24"/>
        </w:rPr>
        <w:t>)</w:t>
      </w:r>
      <w:r w:rsidRPr="00A75E02">
        <w:rPr>
          <w:rFonts w:ascii="Times New Roman" w:hAnsi="Times New Roman"/>
          <w:sz w:val="24"/>
          <w:szCs w:val="24"/>
        </w:rPr>
        <w:t xml:space="preserve"> </w:t>
      </w:r>
      <w:proofErr w:type="gramStart"/>
      <w:r w:rsidRPr="00A75E02">
        <w:rPr>
          <w:rFonts w:ascii="Times New Roman" w:hAnsi="Times New Roman"/>
          <w:sz w:val="24"/>
          <w:szCs w:val="24"/>
        </w:rPr>
        <w:t>is also financed</w:t>
      </w:r>
      <w:proofErr w:type="gramEnd"/>
      <w:r w:rsidRPr="00A75E02">
        <w:rPr>
          <w:rFonts w:ascii="Times New Roman" w:hAnsi="Times New Roman"/>
          <w:sz w:val="24"/>
          <w:szCs w:val="24"/>
        </w:rPr>
        <w:t xml:space="preserve"> </w:t>
      </w:r>
      <w:r w:rsidR="007915FE">
        <w:rPr>
          <w:rFonts w:ascii="Times New Roman" w:hAnsi="Times New Roman"/>
          <w:sz w:val="24"/>
          <w:szCs w:val="24"/>
        </w:rPr>
        <w:t>from</w:t>
      </w:r>
      <w:r w:rsidRPr="00A75E02">
        <w:rPr>
          <w:rFonts w:ascii="Times New Roman" w:hAnsi="Times New Roman"/>
          <w:sz w:val="24"/>
          <w:szCs w:val="24"/>
        </w:rPr>
        <w:t xml:space="preserve"> the State budget. In order to ensure the implementation of functions of the OEOO, in 2017 EUR 390 302 were allocated from the State budget; in 2018 the allocations </w:t>
      </w:r>
      <w:r w:rsidR="007915FE">
        <w:rPr>
          <w:rFonts w:ascii="Times New Roman" w:hAnsi="Times New Roman"/>
          <w:sz w:val="24"/>
          <w:szCs w:val="24"/>
        </w:rPr>
        <w:t>will be increased</w:t>
      </w:r>
      <w:r w:rsidRPr="00A75E02">
        <w:rPr>
          <w:rFonts w:ascii="Times New Roman" w:hAnsi="Times New Roman"/>
          <w:sz w:val="24"/>
          <w:szCs w:val="24"/>
        </w:rPr>
        <w:t xml:space="preserve"> to EUR 397 000. </w:t>
      </w:r>
    </w:p>
    <w:p w14:paraId="5D69FAE9" w14:textId="0EF43D8C" w:rsidR="001C583B" w:rsidRPr="00A75E02" w:rsidRDefault="00851C3C"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16. It </w:t>
      </w:r>
      <w:proofErr w:type="gramStart"/>
      <w:r w:rsidRPr="00A75E02">
        <w:rPr>
          <w:rFonts w:ascii="Times New Roman" w:hAnsi="Times New Roman"/>
          <w:sz w:val="24"/>
          <w:szCs w:val="24"/>
        </w:rPr>
        <w:t>should be noted</w:t>
      </w:r>
      <w:proofErr w:type="gramEnd"/>
      <w:r w:rsidRPr="00A75E02">
        <w:rPr>
          <w:rFonts w:ascii="Times New Roman" w:hAnsi="Times New Roman"/>
          <w:sz w:val="24"/>
          <w:szCs w:val="24"/>
        </w:rPr>
        <w:t xml:space="preserve"> that the OEOO is engaged in preventive and educational activities and promotion of equal opportunities that includes the promotion of equal treatment irrespective of</w:t>
      </w:r>
      <w:r w:rsidR="007E2510">
        <w:rPr>
          <w:rFonts w:ascii="Times New Roman" w:hAnsi="Times New Roman"/>
          <w:sz w:val="24"/>
          <w:szCs w:val="24"/>
        </w:rPr>
        <w:t xml:space="preserve"> race, nationality, citizenship. </w:t>
      </w:r>
      <w:r w:rsidR="004D21E9">
        <w:rPr>
          <w:rFonts w:ascii="Times New Roman" w:hAnsi="Times New Roman"/>
          <w:sz w:val="24"/>
          <w:szCs w:val="24"/>
        </w:rPr>
        <w:t>H</w:t>
      </w:r>
      <w:r w:rsidR="004D21E9" w:rsidRPr="00A75E02">
        <w:rPr>
          <w:rFonts w:ascii="Times New Roman" w:hAnsi="Times New Roman"/>
          <w:sz w:val="24"/>
          <w:szCs w:val="24"/>
        </w:rPr>
        <w:t>owever,</w:t>
      </w:r>
      <w:r w:rsidRPr="00A75E02">
        <w:rPr>
          <w:rFonts w:ascii="Times New Roman" w:hAnsi="Times New Roman"/>
          <w:sz w:val="24"/>
          <w:szCs w:val="24"/>
        </w:rPr>
        <w:t xml:space="preserve"> </w:t>
      </w:r>
      <w:r w:rsidR="006C2310">
        <w:rPr>
          <w:rFonts w:ascii="Times New Roman" w:hAnsi="Times New Roman"/>
          <w:sz w:val="24"/>
          <w:szCs w:val="24"/>
        </w:rPr>
        <w:t xml:space="preserve">the implementation of </w:t>
      </w:r>
      <w:r w:rsidRPr="00A75E02">
        <w:rPr>
          <w:rFonts w:ascii="Times New Roman" w:hAnsi="Times New Roman"/>
          <w:sz w:val="24"/>
          <w:szCs w:val="24"/>
        </w:rPr>
        <w:t>th</w:t>
      </w:r>
      <w:r w:rsidR="006C2310">
        <w:rPr>
          <w:rFonts w:ascii="Times New Roman" w:hAnsi="Times New Roman"/>
          <w:sz w:val="24"/>
          <w:szCs w:val="24"/>
        </w:rPr>
        <w:t>ese</w:t>
      </w:r>
      <w:r w:rsidRPr="00A75E02">
        <w:rPr>
          <w:rFonts w:ascii="Times New Roman" w:hAnsi="Times New Roman"/>
          <w:sz w:val="24"/>
          <w:szCs w:val="24"/>
        </w:rPr>
        <w:t xml:space="preserve"> activit</w:t>
      </w:r>
      <w:r w:rsidR="006C2310">
        <w:rPr>
          <w:rFonts w:ascii="Times New Roman" w:hAnsi="Times New Roman"/>
          <w:sz w:val="24"/>
          <w:szCs w:val="24"/>
        </w:rPr>
        <w:t>ies</w:t>
      </w:r>
      <w:r w:rsidRPr="00A75E02">
        <w:rPr>
          <w:rFonts w:ascii="Times New Roman" w:hAnsi="Times New Roman"/>
          <w:sz w:val="24"/>
          <w:szCs w:val="24"/>
        </w:rPr>
        <w:t xml:space="preserve"> </w:t>
      </w:r>
      <w:proofErr w:type="gramStart"/>
      <w:r w:rsidR="006C2310">
        <w:rPr>
          <w:rFonts w:ascii="Times New Roman" w:hAnsi="Times New Roman"/>
          <w:sz w:val="24"/>
          <w:szCs w:val="24"/>
        </w:rPr>
        <w:t>is</w:t>
      </w:r>
      <w:r w:rsidRPr="00A75E02">
        <w:rPr>
          <w:rFonts w:ascii="Times New Roman" w:hAnsi="Times New Roman"/>
          <w:sz w:val="24"/>
          <w:szCs w:val="24"/>
        </w:rPr>
        <w:t xml:space="preserve"> financed</w:t>
      </w:r>
      <w:proofErr w:type="gramEnd"/>
      <w:r w:rsidRPr="00A75E02">
        <w:rPr>
          <w:rFonts w:ascii="Times New Roman" w:hAnsi="Times New Roman"/>
          <w:sz w:val="24"/>
          <w:szCs w:val="24"/>
        </w:rPr>
        <w:t xml:space="preserve"> from </w:t>
      </w:r>
      <w:r w:rsidR="00547A47" w:rsidRPr="00A75E02">
        <w:rPr>
          <w:rFonts w:ascii="Times New Roman" w:hAnsi="Times New Roman"/>
          <w:sz w:val="24"/>
          <w:szCs w:val="24"/>
        </w:rPr>
        <w:t xml:space="preserve">the </w:t>
      </w:r>
      <w:r w:rsidRPr="00A75E02">
        <w:rPr>
          <w:rFonts w:ascii="Times New Roman" w:hAnsi="Times New Roman"/>
          <w:sz w:val="24"/>
          <w:szCs w:val="24"/>
        </w:rPr>
        <w:t>EU str</w:t>
      </w:r>
      <w:r w:rsidR="000D793E">
        <w:rPr>
          <w:rFonts w:ascii="Times New Roman" w:hAnsi="Times New Roman"/>
          <w:sz w:val="24"/>
          <w:szCs w:val="24"/>
        </w:rPr>
        <w:t>uctural funds and other sources</w:t>
      </w:r>
      <w:r w:rsidRPr="00A75E02">
        <w:rPr>
          <w:rFonts w:ascii="Times New Roman" w:hAnsi="Times New Roman"/>
          <w:sz w:val="24"/>
          <w:szCs w:val="24"/>
        </w:rPr>
        <w:t xml:space="preserve"> and by</w:t>
      </w:r>
      <w:r w:rsidR="004D21E9">
        <w:rPr>
          <w:rFonts w:ascii="Times New Roman" w:hAnsi="Times New Roman"/>
          <w:sz w:val="24"/>
          <w:szCs w:val="24"/>
        </w:rPr>
        <w:t xml:space="preserve"> State budged</w:t>
      </w:r>
      <w:r w:rsidRPr="00A75E02">
        <w:rPr>
          <w:rFonts w:ascii="Times New Roman" w:hAnsi="Times New Roman"/>
          <w:sz w:val="24"/>
          <w:szCs w:val="24"/>
        </w:rPr>
        <w:t>.</w:t>
      </w:r>
      <w:r w:rsidR="001601D9">
        <w:rPr>
          <w:rFonts w:ascii="Times New Roman" w:hAnsi="Times New Roman"/>
          <w:sz w:val="24"/>
          <w:szCs w:val="24"/>
        </w:rPr>
        <w:t xml:space="preserve"> </w:t>
      </w:r>
    </w:p>
    <w:p w14:paraId="45CB95E2" w14:textId="77777777" w:rsidR="002B424A" w:rsidRPr="00A75E02" w:rsidRDefault="002B424A" w:rsidP="00742FA3">
      <w:pPr>
        <w:spacing w:before="100" w:beforeAutospacing="1" w:after="100" w:afterAutospacing="1" w:line="240" w:lineRule="auto"/>
        <w:jc w:val="both"/>
        <w:rPr>
          <w:rFonts w:ascii="Times New Roman" w:hAnsi="Times New Roman" w:cs="Times New Roman"/>
          <w:i/>
          <w:sz w:val="24"/>
          <w:szCs w:val="24"/>
        </w:rPr>
      </w:pPr>
      <w:proofErr w:type="gramStart"/>
      <w:r w:rsidRPr="00A75E02">
        <w:rPr>
          <w:rFonts w:ascii="Times New Roman" w:hAnsi="Times New Roman"/>
          <w:i/>
          <w:sz w:val="24"/>
          <w:szCs w:val="24"/>
        </w:rPr>
        <w:t xml:space="preserve">In the light of its general recommendations No. 7 (1985) and No. 15 (1993) relating to the implementation of article 4 of the Convention and No. 30 (2004) on discrimination against non-citizens, and recalling its general recommendation No. 35 (2013) on combating racist hate speech, the Committee reminds the State party of the importance of safeguarding the rights of groups in need </w:t>
      </w:r>
      <w:r w:rsidRPr="00A75E02">
        <w:rPr>
          <w:rFonts w:ascii="Times New Roman" w:hAnsi="Times New Roman"/>
          <w:i/>
          <w:sz w:val="24"/>
          <w:szCs w:val="24"/>
        </w:rPr>
        <w:lastRenderedPageBreak/>
        <w:t>of protection against racist hate speech and incitement to hatred and recommends that the State party take appropriate measures to:</w:t>
      </w:r>
      <w:proofErr w:type="gramEnd"/>
    </w:p>
    <w:p w14:paraId="2E41E5C1" w14:textId="77777777" w:rsidR="002B424A" w:rsidRPr="00A75E02" w:rsidRDefault="002B424A"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(a)</w:t>
      </w:r>
      <w:r w:rsidR="001601D9">
        <w:rPr>
          <w:rFonts w:ascii="Times New Roman" w:hAnsi="Times New Roman"/>
          <w:i/>
          <w:sz w:val="24"/>
          <w:szCs w:val="24"/>
        </w:rPr>
        <w:t xml:space="preserve">  </w:t>
      </w:r>
      <w:r w:rsidRPr="00A75E02">
        <w:rPr>
          <w:rFonts w:ascii="Times New Roman" w:hAnsi="Times New Roman"/>
          <w:i/>
          <w:sz w:val="24"/>
          <w:szCs w:val="24"/>
        </w:rPr>
        <w:t xml:space="preserve"> Strongly condemn and distance itself from racist hate speech and discriminatory statements emanating from certain politicians and media, including those published on the Internet, and call upon politicians and media professionals to ensure that their public statements do not contribute to </w:t>
      </w:r>
      <w:proofErr w:type="spellStart"/>
      <w:r w:rsidRPr="00A75E02">
        <w:rPr>
          <w:rFonts w:ascii="Times New Roman" w:hAnsi="Times New Roman"/>
          <w:i/>
          <w:sz w:val="24"/>
          <w:szCs w:val="24"/>
        </w:rPr>
        <w:t>fueling</w:t>
      </w:r>
      <w:proofErr w:type="spellEnd"/>
      <w:r w:rsidRPr="00A75E02">
        <w:rPr>
          <w:rFonts w:ascii="Times New Roman" w:hAnsi="Times New Roman"/>
          <w:i/>
          <w:sz w:val="24"/>
          <w:szCs w:val="24"/>
        </w:rPr>
        <w:t xml:space="preserve"> intolerance, stigmatization and incitement to hatred;</w:t>
      </w:r>
    </w:p>
    <w:p w14:paraId="3117F11C" w14:textId="77777777" w:rsidR="009F7881" w:rsidRPr="00A75E02" w:rsidRDefault="009F7881" w:rsidP="009F7881">
      <w:pPr>
        <w:pStyle w:val="Textbodyindent"/>
        <w:spacing w:before="100" w:beforeAutospacing="1" w:after="100" w:afterAutospacing="1"/>
        <w:ind w:left="0" w:firstLine="0"/>
        <w:rPr>
          <w:rFonts w:cs="Times New Roman"/>
        </w:rPr>
      </w:pPr>
      <w:proofErr w:type="gramStart"/>
      <w:r w:rsidRPr="00A75E02">
        <w:t>17. Hate speech and incitement to hatred are criminalized by Article 170(2) and (3) and Article 170</w:t>
      </w:r>
      <w:r w:rsidRPr="00A75E02">
        <w:rPr>
          <w:vertAlign w:val="superscript"/>
        </w:rPr>
        <w:t>1</w:t>
      </w:r>
      <w:r w:rsidRPr="00A75E02">
        <w:t xml:space="preserve"> of </w:t>
      </w:r>
      <w:r w:rsidR="008064E5" w:rsidRPr="00A75E02">
        <w:t xml:space="preserve">the </w:t>
      </w:r>
      <w:r w:rsidRPr="00A75E02">
        <w:t xml:space="preserve">CC. Article 170(2) of </w:t>
      </w:r>
      <w:r w:rsidR="008064E5" w:rsidRPr="00A75E02">
        <w:t xml:space="preserve">the </w:t>
      </w:r>
      <w:r w:rsidRPr="00A75E02">
        <w:t xml:space="preserve">CC establishes criminal liability for a person who publicly </w:t>
      </w:r>
      <w:r w:rsidR="008B3604">
        <w:t>mocks</w:t>
      </w:r>
      <w:r w:rsidRPr="00A75E02">
        <w:t xml:space="preserve">, expresses contempt for, urges hatred of or incites discrimination against a group of persons or a person belonging thereto on grounds of </w:t>
      </w:r>
      <w:r w:rsidR="00C57562" w:rsidRPr="00A75E02">
        <w:t xml:space="preserve">age, </w:t>
      </w:r>
      <w:r w:rsidRPr="00A75E02">
        <w:t xml:space="preserve">sex, sexual orientation, </w:t>
      </w:r>
      <w:r w:rsidR="00FC4F3D" w:rsidRPr="00A75E02">
        <w:t xml:space="preserve">disability, </w:t>
      </w:r>
      <w:r w:rsidRPr="00A75E02">
        <w:t>race, nationality, language, descent, social status, religion, convictions or views.</w:t>
      </w:r>
      <w:proofErr w:type="gramEnd"/>
      <w:r w:rsidRPr="00A75E02">
        <w:t xml:space="preserve"> Article 170(3) of </w:t>
      </w:r>
      <w:r w:rsidR="008064E5" w:rsidRPr="00A75E02">
        <w:t xml:space="preserve">the </w:t>
      </w:r>
      <w:r w:rsidRPr="00A75E02">
        <w:t>CC estab</w:t>
      </w:r>
      <w:r w:rsidR="008064E5" w:rsidRPr="00A75E02">
        <w:t>lishes criminal liability for a</w:t>
      </w:r>
      <w:r w:rsidRPr="00A75E02">
        <w:t xml:space="preserve"> person who publicly incites violence or a physical violent treatment of a group of persons or a person belonging thereto on grounds of </w:t>
      </w:r>
      <w:r w:rsidR="00FC4F3D" w:rsidRPr="00A75E02">
        <w:t xml:space="preserve">age, </w:t>
      </w:r>
      <w:r w:rsidRPr="00A75E02">
        <w:t xml:space="preserve">sex, sexual orientation, </w:t>
      </w:r>
      <w:r w:rsidR="005B18FA" w:rsidRPr="00A75E02">
        <w:t xml:space="preserve">disability, </w:t>
      </w:r>
      <w:r w:rsidRPr="00A75E02">
        <w:t xml:space="preserve">race, nationality, language, descent, social status, religion, convictions or views or finances or otherwise supports such activities. </w:t>
      </w:r>
      <w:proofErr w:type="gramStart"/>
      <w:r w:rsidRPr="00A75E02">
        <w:t>Article 170</w:t>
      </w:r>
      <w:r w:rsidRPr="00A75E02">
        <w:rPr>
          <w:vertAlign w:val="superscript"/>
        </w:rPr>
        <w:t>1</w:t>
      </w:r>
      <w:r w:rsidRPr="00A75E02">
        <w:t xml:space="preserve"> of </w:t>
      </w:r>
      <w:r w:rsidR="008064E5" w:rsidRPr="00A75E02">
        <w:t xml:space="preserve">the </w:t>
      </w:r>
      <w:r w:rsidRPr="00A75E02">
        <w:t>CC</w:t>
      </w:r>
      <w:bookmarkStart w:id="4" w:name="textas2"/>
      <w:bookmarkEnd w:id="4"/>
      <w:r w:rsidRPr="00A75E02">
        <w:t xml:space="preserve"> establishes criminal liability for a person who creates a group of accomplices or an organised group or organisation aiming at discriminating a group of persons on grounds of </w:t>
      </w:r>
      <w:r w:rsidR="005B18FA" w:rsidRPr="00A75E02">
        <w:t xml:space="preserve">age, </w:t>
      </w:r>
      <w:r w:rsidRPr="00A75E02">
        <w:t xml:space="preserve">sex, sexual orientation, </w:t>
      </w:r>
      <w:r w:rsidR="002C78C1" w:rsidRPr="00A75E02">
        <w:t xml:space="preserve">disability, </w:t>
      </w:r>
      <w:r w:rsidRPr="00A75E02">
        <w:t>race, nationality, language, descent, social status, religion, convictions or views or inciting against it or participates in the activities of such a group or organisation or finances or otherwise supports such a group or organisation.</w:t>
      </w:r>
      <w:proofErr w:type="gramEnd"/>
    </w:p>
    <w:p w14:paraId="7E898A65" w14:textId="77777777" w:rsidR="002B424A" w:rsidRPr="00A75E02" w:rsidRDefault="002B424A" w:rsidP="00742FA3">
      <w:pPr>
        <w:spacing w:before="100" w:beforeAutospacing="1" w:after="100" w:afterAutospacing="1" w:line="240" w:lineRule="auto"/>
        <w:jc w:val="both"/>
        <w:rPr>
          <w:rFonts w:ascii="Times New Roman" w:hAnsi="Times New Roman" w:cs="Times New Roman"/>
          <w:i/>
          <w:sz w:val="24"/>
          <w:szCs w:val="24"/>
        </w:rPr>
      </w:pPr>
      <w:proofErr w:type="gramStart"/>
      <w:r w:rsidRPr="00A75E02">
        <w:rPr>
          <w:rFonts w:ascii="Times New Roman" w:hAnsi="Times New Roman"/>
          <w:i/>
          <w:sz w:val="24"/>
          <w:szCs w:val="24"/>
        </w:rPr>
        <w:t>(b)</w:t>
      </w:r>
      <w:r w:rsidR="001601D9">
        <w:rPr>
          <w:rFonts w:ascii="Times New Roman" w:hAnsi="Times New Roman"/>
          <w:i/>
          <w:sz w:val="24"/>
          <w:szCs w:val="24"/>
        </w:rPr>
        <w:t xml:space="preserve">   </w:t>
      </w:r>
      <w:r w:rsidRPr="00A75E02">
        <w:rPr>
          <w:rFonts w:ascii="Times New Roman" w:hAnsi="Times New Roman"/>
          <w:i/>
          <w:sz w:val="24"/>
          <w:szCs w:val="24"/>
        </w:rPr>
        <w:t>Ensure</w:t>
      </w:r>
      <w:r w:rsidR="001601D9">
        <w:rPr>
          <w:rFonts w:ascii="Times New Roman" w:hAnsi="Times New Roman"/>
          <w:i/>
          <w:sz w:val="24"/>
          <w:szCs w:val="24"/>
        </w:rPr>
        <w:t xml:space="preserve"> </w:t>
      </w:r>
      <w:r w:rsidRPr="00A75E02">
        <w:rPr>
          <w:rFonts w:ascii="Times New Roman" w:hAnsi="Times New Roman"/>
          <w:i/>
          <w:sz w:val="24"/>
          <w:szCs w:val="24"/>
        </w:rPr>
        <w:t>that</w:t>
      </w:r>
      <w:r w:rsidR="001601D9">
        <w:rPr>
          <w:rFonts w:ascii="Times New Roman" w:hAnsi="Times New Roman"/>
          <w:i/>
          <w:sz w:val="24"/>
          <w:szCs w:val="24"/>
        </w:rPr>
        <w:t xml:space="preserve"> </w:t>
      </w:r>
      <w:r w:rsidRPr="00A75E02">
        <w:rPr>
          <w:rFonts w:ascii="Times New Roman" w:hAnsi="Times New Roman"/>
          <w:i/>
          <w:sz w:val="24"/>
          <w:szCs w:val="24"/>
        </w:rPr>
        <w:t>all</w:t>
      </w:r>
      <w:r w:rsidR="001601D9">
        <w:rPr>
          <w:rFonts w:ascii="Times New Roman" w:hAnsi="Times New Roman"/>
          <w:i/>
          <w:sz w:val="24"/>
          <w:szCs w:val="24"/>
        </w:rPr>
        <w:t xml:space="preserve"> </w:t>
      </w:r>
      <w:r w:rsidRPr="00A75E02">
        <w:rPr>
          <w:rFonts w:ascii="Times New Roman" w:hAnsi="Times New Roman"/>
          <w:i/>
          <w:sz w:val="24"/>
          <w:szCs w:val="24"/>
        </w:rPr>
        <w:t>reported</w:t>
      </w:r>
      <w:r w:rsidR="001601D9">
        <w:rPr>
          <w:rFonts w:ascii="Times New Roman" w:hAnsi="Times New Roman"/>
          <w:i/>
          <w:sz w:val="24"/>
          <w:szCs w:val="24"/>
        </w:rPr>
        <w:t xml:space="preserve"> </w:t>
      </w:r>
      <w:r w:rsidRPr="00A75E02">
        <w:rPr>
          <w:rFonts w:ascii="Times New Roman" w:hAnsi="Times New Roman"/>
          <w:i/>
          <w:sz w:val="24"/>
          <w:szCs w:val="24"/>
        </w:rPr>
        <w:t>cases</w:t>
      </w:r>
      <w:r w:rsidR="001601D9">
        <w:rPr>
          <w:rFonts w:ascii="Times New Roman" w:hAnsi="Times New Roman"/>
          <w:i/>
          <w:sz w:val="24"/>
          <w:szCs w:val="24"/>
        </w:rPr>
        <w:t xml:space="preserve"> </w:t>
      </w:r>
      <w:r w:rsidRPr="00A75E02">
        <w:rPr>
          <w:rFonts w:ascii="Times New Roman" w:hAnsi="Times New Roman"/>
          <w:i/>
          <w:sz w:val="24"/>
          <w:szCs w:val="24"/>
        </w:rPr>
        <w:t>of</w:t>
      </w:r>
      <w:r w:rsidR="001601D9">
        <w:rPr>
          <w:rFonts w:ascii="Times New Roman" w:hAnsi="Times New Roman"/>
          <w:i/>
          <w:sz w:val="24"/>
          <w:szCs w:val="24"/>
        </w:rPr>
        <w:t xml:space="preserve"> </w:t>
      </w:r>
      <w:r w:rsidRPr="00A75E02">
        <w:rPr>
          <w:rFonts w:ascii="Times New Roman" w:hAnsi="Times New Roman"/>
          <w:i/>
          <w:sz w:val="24"/>
          <w:szCs w:val="24"/>
        </w:rPr>
        <w:t>hate</w:t>
      </w:r>
      <w:r w:rsidR="001601D9">
        <w:rPr>
          <w:rFonts w:ascii="Times New Roman" w:hAnsi="Times New Roman"/>
          <w:i/>
          <w:sz w:val="24"/>
          <w:szCs w:val="24"/>
        </w:rPr>
        <w:t xml:space="preserve"> </w:t>
      </w:r>
      <w:r w:rsidRPr="00A75E02">
        <w:rPr>
          <w:rFonts w:ascii="Times New Roman" w:hAnsi="Times New Roman"/>
          <w:i/>
          <w:sz w:val="24"/>
          <w:szCs w:val="24"/>
        </w:rPr>
        <w:t>speech</w:t>
      </w:r>
      <w:r w:rsidR="001601D9">
        <w:rPr>
          <w:rFonts w:ascii="Times New Roman" w:hAnsi="Times New Roman"/>
          <w:i/>
          <w:sz w:val="24"/>
          <w:szCs w:val="24"/>
        </w:rPr>
        <w:t xml:space="preserve"> </w:t>
      </w:r>
      <w:r w:rsidRPr="00A75E02">
        <w:rPr>
          <w:rFonts w:ascii="Times New Roman" w:hAnsi="Times New Roman"/>
          <w:i/>
          <w:sz w:val="24"/>
          <w:szCs w:val="24"/>
        </w:rPr>
        <w:t>are</w:t>
      </w:r>
      <w:r w:rsidR="001601D9">
        <w:rPr>
          <w:rFonts w:ascii="Times New Roman" w:hAnsi="Times New Roman"/>
          <w:i/>
          <w:sz w:val="24"/>
          <w:szCs w:val="24"/>
        </w:rPr>
        <w:t xml:space="preserve"> </w:t>
      </w:r>
      <w:r w:rsidRPr="00A75E02">
        <w:rPr>
          <w:rFonts w:ascii="Times New Roman" w:hAnsi="Times New Roman"/>
          <w:i/>
          <w:sz w:val="24"/>
          <w:szCs w:val="24"/>
        </w:rPr>
        <w:t>registered</w:t>
      </w:r>
      <w:r w:rsidR="001601D9">
        <w:rPr>
          <w:rFonts w:ascii="Times New Roman" w:hAnsi="Times New Roman"/>
          <w:i/>
          <w:sz w:val="24"/>
          <w:szCs w:val="24"/>
        </w:rPr>
        <w:t xml:space="preserve"> </w:t>
      </w:r>
      <w:r w:rsidRPr="00A75E02">
        <w:rPr>
          <w:rFonts w:ascii="Times New Roman" w:hAnsi="Times New Roman"/>
          <w:i/>
          <w:sz w:val="24"/>
          <w:szCs w:val="24"/>
        </w:rPr>
        <w:t>and investigated effectively under the Criminal Code, and that the persons responsible are prosecuted, where appropriate, and, if found guilty, punished with adequate penalties;</w:t>
      </w:r>
      <w:r w:rsidR="001601D9">
        <w:rPr>
          <w:rFonts w:ascii="Times New Roman" w:hAnsi="Times New Roman"/>
          <w:i/>
          <w:sz w:val="24"/>
          <w:szCs w:val="24"/>
        </w:rPr>
        <w:t xml:space="preserve"> </w:t>
      </w:r>
      <w:r w:rsidRPr="00A75E02">
        <w:rPr>
          <w:rFonts w:ascii="Times New Roman" w:hAnsi="Times New Roman"/>
          <w:i/>
          <w:sz w:val="24"/>
          <w:szCs w:val="24"/>
        </w:rPr>
        <w:t>(c)</w:t>
      </w:r>
      <w:r w:rsidR="001601D9">
        <w:rPr>
          <w:rFonts w:ascii="Times New Roman" w:hAnsi="Times New Roman"/>
          <w:i/>
          <w:sz w:val="24"/>
          <w:szCs w:val="24"/>
        </w:rPr>
        <w:t xml:space="preserve">   </w:t>
      </w:r>
      <w:r w:rsidRPr="00A75E02">
        <w:rPr>
          <w:rFonts w:ascii="Times New Roman" w:hAnsi="Times New Roman"/>
          <w:i/>
          <w:sz w:val="24"/>
          <w:szCs w:val="24"/>
        </w:rPr>
        <w:t>Continue to collect and make available statistics on the hate speech cases that have been reported, the number of cases brought to court and the outcome of these cases;</w:t>
      </w:r>
      <w:proofErr w:type="gramEnd"/>
    </w:p>
    <w:p w14:paraId="7D8F52FA" w14:textId="2135CAB2" w:rsidR="009F7881" w:rsidRPr="00A75E02" w:rsidRDefault="009F7881" w:rsidP="009F7881">
      <w:pPr>
        <w:pStyle w:val="Textbodyindent"/>
        <w:spacing w:before="100" w:beforeAutospacing="1" w:after="100" w:afterAutospacing="1"/>
        <w:ind w:left="0" w:firstLine="0"/>
        <w:rPr>
          <w:rFonts w:cs="Times New Roman"/>
        </w:rPr>
      </w:pPr>
      <w:proofErr w:type="gramStart"/>
      <w:r w:rsidRPr="00A75E02">
        <w:t xml:space="preserve">18. Due to insufficient functionality of the Prosecutor’s Office Information System (hereinafter referred to as </w:t>
      </w:r>
      <w:r w:rsidR="008064E5" w:rsidRPr="00A75E02">
        <w:t xml:space="preserve">the </w:t>
      </w:r>
      <w:r w:rsidRPr="00A75E02">
        <w:t xml:space="preserve">POIS) and the Integrated Criminal Procedure System (hereinafter referred to as </w:t>
      </w:r>
      <w:r w:rsidR="008064E5" w:rsidRPr="00A75E02">
        <w:t xml:space="preserve">the </w:t>
      </w:r>
      <w:r w:rsidRPr="00A75E02">
        <w:t xml:space="preserve">ICPS) we have no possibility to </w:t>
      </w:r>
      <w:r w:rsidR="00B012AA" w:rsidRPr="00A75E02">
        <w:t>list</w:t>
      </w:r>
      <w:r w:rsidRPr="00A75E02">
        <w:t xml:space="preserve"> cases when pre</w:t>
      </w:r>
      <w:r w:rsidR="008064E5" w:rsidRPr="00A75E02">
        <w:t>-</w:t>
      </w:r>
      <w:r w:rsidRPr="00A75E02">
        <w:t xml:space="preserve">trial investigations were initiated and conducted on the basis of the above-mentioned articles of </w:t>
      </w:r>
      <w:r w:rsidR="008064E5" w:rsidRPr="00A75E02">
        <w:t xml:space="preserve">the </w:t>
      </w:r>
      <w:r w:rsidRPr="00A75E02">
        <w:t>CC concerning hate speech and incitement to hatred emanating from politicians or media.</w:t>
      </w:r>
      <w:proofErr w:type="gramEnd"/>
      <w:r w:rsidRPr="00A75E02">
        <w:t xml:space="preserve"> The above-mentioned systems allow </w:t>
      </w:r>
      <w:proofErr w:type="gramStart"/>
      <w:r w:rsidRPr="00A75E02">
        <w:t>to generate</w:t>
      </w:r>
      <w:proofErr w:type="gramEnd"/>
      <w:r w:rsidRPr="00A75E02">
        <w:t xml:space="preserve"> data only by the articles of </w:t>
      </w:r>
      <w:r w:rsidR="008064E5" w:rsidRPr="00A75E02">
        <w:t xml:space="preserve">the </w:t>
      </w:r>
      <w:r w:rsidRPr="00A75E02">
        <w:t xml:space="preserve">CC, thus we </w:t>
      </w:r>
      <w:r w:rsidR="008227A3">
        <w:t>can provide</w:t>
      </w:r>
      <w:r w:rsidRPr="00A75E02">
        <w:t xml:space="preserve"> general statistical data by the articles of </w:t>
      </w:r>
      <w:r w:rsidR="008064E5" w:rsidRPr="00A75E02">
        <w:t xml:space="preserve">the </w:t>
      </w:r>
      <w:r w:rsidRPr="00A75E02">
        <w:t xml:space="preserve">CC in relation to the above-mentioned offences. It </w:t>
      </w:r>
      <w:proofErr w:type="gramStart"/>
      <w:r w:rsidRPr="00A75E02">
        <w:t>should be emphasized</w:t>
      </w:r>
      <w:proofErr w:type="gramEnd"/>
      <w:r w:rsidRPr="00A75E02">
        <w:t xml:space="preserve"> that </w:t>
      </w:r>
      <w:r w:rsidR="00817399" w:rsidRPr="00A75E02">
        <w:t>one</w:t>
      </w:r>
      <w:r w:rsidRPr="00A75E02">
        <w:t xml:space="preserve"> pre</w:t>
      </w:r>
      <w:r w:rsidR="008064E5" w:rsidRPr="00A75E02">
        <w:t>-</w:t>
      </w:r>
      <w:r w:rsidRPr="00A75E02">
        <w:t xml:space="preserve">trial investigation often involves the investigation of several criminal offences qualified according to different articles of </w:t>
      </w:r>
      <w:r w:rsidR="00422419" w:rsidRPr="00A75E02">
        <w:t xml:space="preserve">the </w:t>
      </w:r>
      <w:r w:rsidRPr="00A75E02">
        <w:t xml:space="preserve">CC. However, </w:t>
      </w:r>
      <w:r w:rsidR="008064E5" w:rsidRPr="00A75E02">
        <w:t xml:space="preserve">the </w:t>
      </w:r>
      <w:r w:rsidRPr="00A75E02">
        <w:t xml:space="preserve">POIS is unable to generate data on the number of criminal offences investigated because only data </w:t>
      </w:r>
      <w:r w:rsidR="003833F5" w:rsidRPr="00A75E02">
        <w:t>concerning</w:t>
      </w:r>
      <w:r w:rsidRPr="00A75E02">
        <w:t xml:space="preserve"> ongoing and finalised pre</w:t>
      </w:r>
      <w:r w:rsidR="008064E5" w:rsidRPr="00A75E02">
        <w:t>-</w:t>
      </w:r>
      <w:r w:rsidRPr="00A75E02">
        <w:t>trial investigations is collected. Thus</w:t>
      </w:r>
      <w:r w:rsidR="003833F5" w:rsidRPr="00A75E02">
        <w:t>,</w:t>
      </w:r>
      <w:r w:rsidRPr="00A75E02">
        <w:t xml:space="preserve"> the statistical data presented </w:t>
      </w:r>
      <w:proofErr w:type="gramStart"/>
      <w:r w:rsidR="00064C74" w:rsidRPr="00A75E02">
        <w:t>is</w:t>
      </w:r>
      <w:r w:rsidRPr="00A75E02">
        <w:t xml:space="preserve"> related</w:t>
      </w:r>
      <w:proofErr w:type="gramEnd"/>
      <w:r w:rsidRPr="00A75E02">
        <w:t xml:space="preserve"> only to pre</w:t>
      </w:r>
      <w:r w:rsidR="008064E5" w:rsidRPr="00A75E02">
        <w:t>-</w:t>
      </w:r>
      <w:r w:rsidRPr="00A75E02">
        <w:t xml:space="preserve">trial investigations and not to the number of offences. </w:t>
      </w:r>
    </w:p>
    <w:p w14:paraId="7E6F3E9F" w14:textId="77777777" w:rsidR="009F7881" w:rsidRPr="00A75E02" w:rsidRDefault="009F7881" w:rsidP="009F7881">
      <w:pPr>
        <w:pStyle w:val="Standard"/>
        <w:spacing w:before="100" w:beforeAutospacing="1" w:after="100" w:afterAutospacing="1"/>
        <w:jc w:val="both"/>
        <w:rPr>
          <w:rFonts w:cs="Times New Roman"/>
        </w:rPr>
      </w:pPr>
      <w:proofErr w:type="gramStart"/>
      <w:r w:rsidRPr="00A75E02">
        <w:t>19. During the period of 1 January 2014 to 30 September 2017 194 pre</w:t>
      </w:r>
      <w:r w:rsidR="008064E5" w:rsidRPr="00A75E02">
        <w:t>-</w:t>
      </w:r>
      <w:r w:rsidRPr="00A75E02">
        <w:t xml:space="preserve">trial investigations were initiated on the basis of Article 170(2) of </w:t>
      </w:r>
      <w:r w:rsidR="00282A27" w:rsidRPr="00A75E02">
        <w:t xml:space="preserve">the </w:t>
      </w:r>
      <w:r w:rsidRPr="00A75E02">
        <w:t>CC, 94 pre</w:t>
      </w:r>
      <w:r w:rsidR="00282A27" w:rsidRPr="00A75E02">
        <w:t>-</w:t>
      </w:r>
      <w:r w:rsidRPr="00A75E02">
        <w:t xml:space="preserve">trial investigations were initiated on the basis of Article 170(3) of </w:t>
      </w:r>
      <w:r w:rsidR="00282A27" w:rsidRPr="00A75E02">
        <w:t xml:space="preserve">the </w:t>
      </w:r>
      <w:r w:rsidRPr="00A75E02">
        <w:t>CC and 35 pre</w:t>
      </w:r>
      <w:r w:rsidR="00282A27" w:rsidRPr="00A75E02">
        <w:t>-</w:t>
      </w:r>
      <w:r w:rsidRPr="00A75E02">
        <w:t>tria</w:t>
      </w:r>
      <w:r w:rsidR="00422419" w:rsidRPr="00A75E02">
        <w:t>l investigations were initiated</w:t>
      </w:r>
      <w:r w:rsidRPr="00A75E02">
        <w:t xml:space="preserve"> on the basis of Articles 170(2) and 170(3) of </w:t>
      </w:r>
      <w:r w:rsidR="00422419" w:rsidRPr="00A75E02">
        <w:t xml:space="preserve">the </w:t>
      </w:r>
      <w:r w:rsidRPr="00A75E02">
        <w:t>CC.</w:t>
      </w:r>
      <w:proofErr w:type="gramEnd"/>
    </w:p>
    <w:p w14:paraId="0CC25911" w14:textId="03356425" w:rsidR="009F7881" w:rsidRPr="00A75E02" w:rsidRDefault="009F7881" w:rsidP="009F7881">
      <w:pPr>
        <w:pStyle w:val="Standard"/>
        <w:spacing w:before="100" w:beforeAutospacing="1" w:after="100" w:afterAutospacing="1"/>
        <w:jc w:val="both"/>
        <w:rPr>
          <w:rFonts w:cs="Times New Roman"/>
        </w:rPr>
      </w:pPr>
      <w:proofErr w:type="gramStart"/>
      <w:r w:rsidRPr="00A75E02">
        <w:t xml:space="preserve">20. </w:t>
      </w:r>
      <w:r w:rsidRPr="00A75E02">
        <w:rPr>
          <w:shd w:val="clear" w:color="auto" w:fill="FFFFFF"/>
        </w:rPr>
        <w:t>43 pre</w:t>
      </w:r>
      <w:r w:rsidR="00282A27" w:rsidRPr="00A75E02">
        <w:rPr>
          <w:shd w:val="clear" w:color="auto" w:fill="FFFFFF"/>
        </w:rPr>
        <w:t>-</w:t>
      </w:r>
      <w:r w:rsidRPr="00A75E02">
        <w:rPr>
          <w:shd w:val="clear" w:color="auto" w:fill="FFFFFF"/>
        </w:rPr>
        <w:t xml:space="preserve">trial investigations conducted on the basis of Article 170(2) and (3) of </w:t>
      </w:r>
      <w:r w:rsidR="00467D72" w:rsidRPr="00A75E02">
        <w:rPr>
          <w:shd w:val="clear" w:color="auto" w:fill="FFFFFF"/>
        </w:rPr>
        <w:t xml:space="preserve">the </w:t>
      </w:r>
      <w:r w:rsidRPr="00A75E02">
        <w:rPr>
          <w:shd w:val="clear" w:color="auto" w:fill="FFFFFF"/>
        </w:rPr>
        <w:t xml:space="preserve">CC were finalised by referring the criminal case to the court, 97 were </w:t>
      </w:r>
      <w:r w:rsidR="00E12781" w:rsidRPr="00A75E02">
        <w:rPr>
          <w:shd w:val="clear" w:color="auto" w:fill="FFFFFF"/>
        </w:rPr>
        <w:t>discontinued</w:t>
      </w:r>
      <w:r w:rsidRPr="00A75E02">
        <w:rPr>
          <w:shd w:val="clear" w:color="auto" w:fill="FFFFFF"/>
        </w:rPr>
        <w:t xml:space="preserve"> (of which 63 were </w:t>
      </w:r>
      <w:r w:rsidR="00FF744B" w:rsidRPr="00A75E02">
        <w:rPr>
          <w:shd w:val="clear" w:color="auto" w:fill="FFFFFF"/>
        </w:rPr>
        <w:t>discontinued</w:t>
      </w:r>
      <w:r w:rsidRPr="00A75E02">
        <w:rPr>
          <w:shd w:val="clear" w:color="auto" w:fill="FFFFFF"/>
        </w:rPr>
        <w:t xml:space="preserve"> </w:t>
      </w:r>
      <w:r w:rsidR="001D6FA6" w:rsidRPr="00A75E02">
        <w:rPr>
          <w:shd w:val="clear" w:color="auto" w:fill="FFFFFF"/>
        </w:rPr>
        <w:t>in the absence of elements of criminal offence</w:t>
      </w:r>
      <w:r w:rsidRPr="00A75E02">
        <w:rPr>
          <w:shd w:val="clear" w:color="auto" w:fill="FFFFFF"/>
        </w:rPr>
        <w:t xml:space="preserve"> (</w:t>
      </w:r>
      <w:r w:rsidR="00B915EB" w:rsidRPr="00A75E02">
        <w:rPr>
          <w:shd w:val="clear" w:color="auto" w:fill="FFFFFF"/>
        </w:rPr>
        <w:t xml:space="preserve">paragraph 1 of </w:t>
      </w:r>
      <w:r w:rsidRPr="00A75E02">
        <w:rPr>
          <w:shd w:val="clear" w:color="auto" w:fill="FFFFFF"/>
        </w:rPr>
        <w:t>Article 212, Article (3)(1)</w:t>
      </w:r>
      <w:r w:rsidR="001D6FA6" w:rsidRPr="00A75E02">
        <w:rPr>
          <w:shd w:val="clear" w:color="auto" w:fill="FFFFFF"/>
        </w:rPr>
        <w:t>(1)</w:t>
      </w:r>
      <w:r w:rsidRPr="00A75E02">
        <w:rPr>
          <w:shd w:val="clear" w:color="auto" w:fill="FFFFFF"/>
        </w:rPr>
        <w:t xml:space="preserve"> of the Code of Criminal Procedure of the Republic of Lithuania (hereinafter referred to as </w:t>
      </w:r>
      <w:r w:rsidR="00F25634" w:rsidRPr="00A75E02">
        <w:rPr>
          <w:shd w:val="clear" w:color="auto" w:fill="FFFFFF"/>
        </w:rPr>
        <w:lastRenderedPageBreak/>
        <w:t xml:space="preserve">the </w:t>
      </w:r>
      <w:r w:rsidRPr="00A75E02">
        <w:rPr>
          <w:shd w:val="clear" w:color="auto" w:fill="FFFFFF"/>
        </w:rPr>
        <w:t xml:space="preserve">CCP), 2 were </w:t>
      </w:r>
      <w:r w:rsidR="001D6FA6" w:rsidRPr="00A75E02">
        <w:rPr>
          <w:shd w:val="clear" w:color="auto" w:fill="FFFFFF"/>
        </w:rPr>
        <w:t xml:space="preserve">discontinued </w:t>
      </w:r>
      <w:r w:rsidRPr="00A75E02">
        <w:rPr>
          <w:shd w:val="clear" w:color="auto" w:fill="FFFFFF"/>
        </w:rPr>
        <w:t>due to the lack of evidence of guilt (</w:t>
      </w:r>
      <w:r w:rsidR="00B915EB" w:rsidRPr="00A75E02">
        <w:rPr>
          <w:shd w:val="clear" w:color="auto" w:fill="FFFFFF"/>
        </w:rPr>
        <w:t xml:space="preserve">paragraph 2 of </w:t>
      </w:r>
      <w:r w:rsidRPr="00A75E02">
        <w:rPr>
          <w:shd w:val="clear" w:color="auto" w:fill="FFFFFF"/>
        </w:rPr>
        <w:t xml:space="preserve">Article 212 of </w:t>
      </w:r>
      <w:r w:rsidR="00F25634" w:rsidRPr="00A75E02">
        <w:rPr>
          <w:shd w:val="clear" w:color="auto" w:fill="FFFFFF"/>
        </w:rPr>
        <w:t xml:space="preserve">the </w:t>
      </w:r>
      <w:r w:rsidRPr="00A75E02">
        <w:rPr>
          <w:shd w:val="clear" w:color="auto" w:fill="FFFFFF"/>
        </w:rPr>
        <w:t>CCP</w:t>
      </w:r>
      <w:r w:rsidR="009824EC" w:rsidRPr="00A75E02">
        <w:rPr>
          <w:shd w:val="clear" w:color="auto" w:fill="FFFFFF"/>
        </w:rPr>
        <w:t>)</w:t>
      </w:r>
      <w:r w:rsidRPr="00A75E02">
        <w:rPr>
          <w:shd w:val="clear" w:color="auto" w:fill="FFFFFF"/>
        </w:rPr>
        <w:t xml:space="preserve">, 23 were </w:t>
      </w:r>
      <w:r w:rsidR="001D6FA6" w:rsidRPr="00A75E02">
        <w:rPr>
          <w:shd w:val="clear" w:color="auto" w:fill="FFFFFF"/>
        </w:rPr>
        <w:t xml:space="preserve">discontinued </w:t>
      </w:r>
      <w:r w:rsidRPr="00A75E02">
        <w:rPr>
          <w:shd w:val="clear" w:color="auto" w:fill="FFFFFF"/>
        </w:rPr>
        <w:t>when the suspect was release</w:t>
      </w:r>
      <w:r w:rsidR="008227A3">
        <w:rPr>
          <w:shd w:val="clear" w:color="auto" w:fill="FFFFFF"/>
        </w:rPr>
        <w:t>d</w:t>
      </w:r>
      <w:r w:rsidRPr="00A75E02">
        <w:rPr>
          <w:shd w:val="clear" w:color="auto" w:fill="FFFFFF"/>
        </w:rPr>
        <w:t xml:space="preserve"> from criminal liability on bail (</w:t>
      </w:r>
      <w:r w:rsidR="00B915EB" w:rsidRPr="00A75E02">
        <w:rPr>
          <w:shd w:val="clear" w:color="auto" w:fill="FFFFFF"/>
        </w:rPr>
        <w:t xml:space="preserve">paragraph 6 of </w:t>
      </w:r>
      <w:r w:rsidRPr="00A75E02">
        <w:rPr>
          <w:shd w:val="clear" w:color="auto" w:fill="FFFFFF"/>
        </w:rPr>
        <w:t xml:space="preserve">Article 212 of </w:t>
      </w:r>
      <w:r w:rsidR="00F25634" w:rsidRPr="00A75E02">
        <w:rPr>
          <w:shd w:val="clear" w:color="auto" w:fill="FFFFFF"/>
        </w:rPr>
        <w:t xml:space="preserve">the </w:t>
      </w:r>
      <w:r w:rsidRPr="00A75E02">
        <w:rPr>
          <w:shd w:val="clear" w:color="auto" w:fill="FFFFFF"/>
        </w:rPr>
        <w:t xml:space="preserve">CCP and Article 40 of </w:t>
      </w:r>
      <w:r w:rsidR="00F25634" w:rsidRPr="00A75E02">
        <w:rPr>
          <w:shd w:val="clear" w:color="auto" w:fill="FFFFFF"/>
        </w:rPr>
        <w:t xml:space="preserve">the </w:t>
      </w:r>
      <w:r w:rsidRPr="00A75E02">
        <w:rPr>
          <w:shd w:val="clear" w:color="auto" w:fill="FFFFFF"/>
        </w:rPr>
        <w:t>CC), 76 pre</w:t>
      </w:r>
      <w:r w:rsidR="00F25634" w:rsidRPr="00A75E02">
        <w:rPr>
          <w:shd w:val="clear" w:color="auto" w:fill="FFFFFF"/>
        </w:rPr>
        <w:t>-</w:t>
      </w:r>
      <w:r w:rsidRPr="00A75E02">
        <w:rPr>
          <w:shd w:val="clear" w:color="auto" w:fill="FFFFFF"/>
        </w:rPr>
        <w:t>trial investigations were suspended because all possible means to identify the criminal offender were exhausted and the offender was not identified (Article 3</w:t>
      </w:r>
      <w:r w:rsidRPr="00A75E02">
        <w:rPr>
          <w:shd w:val="clear" w:color="auto" w:fill="FFFFFF"/>
          <w:vertAlign w:val="superscript"/>
        </w:rPr>
        <w:t>1</w:t>
      </w:r>
      <w:r w:rsidRPr="00A75E02">
        <w:rPr>
          <w:shd w:val="clear" w:color="auto" w:fill="FFFFFF"/>
        </w:rPr>
        <w:t xml:space="preserve"> of </w:t>
      </w:r>
      <w:r w:rsidR="00F25634" w:rsidRPr="00A75E02">
        <w:rPr>
          <w:shd w:val="clear" w:color="auto" w:fill="FFFFFF"/>
        </w:rPr>
        <w:t xml:space="preserve">the CCP). </w:t>
      </w:r>
      <w:r w:rsidRPr="00A75E02">
        <w:rPr>
          <w:shd w:val="clear" w:color="auto" w:fill="FFFFFF"/>
        </w:rPr>
        <w:t xml:space="preserve">70 persons were convicted of </w:t>
      </w:r>
      <w:r w:rsidR="00C90291" w:rsidRPr="00A75E02">
        <w:rPr>
          <w:shd w:val="clear" w:color="auto" w:fill="FFFFFF"/>
        </w:rPr>
        <w:t xml:space="preserve">the above-mentioned </w:t>
      </w:r>
      <w:r w:rsidRPr="00A75E02">
        <w:rPr>
          <w:shd w:val="clear" w:color="auto" w:fill="FFFFFF"/>
        </w:rPr>
        <w:t>criminal offences.</w:t>
      </w:r>
      <w:proofErr w:type="gramEnd"/>
      <w:r w:rsidRPr="00A75E02">
        <w:t xml:space="preserve"> None of the crim</w:t>
      </w:r>
      <w:r w:rsidR="008227A3">
        <w:t xml:space="preserve">inal cases referred to court </w:t>
      </w:r>
      <w:proofErr w:type="gramStart"/>
      <w:r w:rsidR="008227A3">
        <w:t>were</w:t>
      </w:r>
      <w:r w:rsidRPr="00A75E02">
        <w:t xml:space="preserve"> closed</w:t>
      </w:r>
      <w:proofErr w:type="gramEnd"/>
      <w:r w:rsidRPr="00A75E02">
        <w:t xml:space="preserve">. Decisions concerning only </w:t>
      </w:r>
      <w:proofErr w:type="gramStart"/>
      <w:r w:rsidRPr="00A75E02">
        <w:t>5</w:t>
      </w:r>
      <w:proofErr w:type="gramEnd"/>
      <w:r w:rsidRPr="00A75E02">
        <w:t xml:space="preserve"> out of the total of criminal cases for which a decision to stop a pre</w:t>
      </w:r>
      <w:r w:rsidR="00F25634" w:rsidRPr="00A75E02">
        <w:t>-</w:t>
      </w:r>
      <w:r w:rsidRPr="00A75E02">
        <w:t>trial investigation was taken</w:t>
      </w:r>
      <w:r w:rsidR="00D163C6" w:rsidRPr="00A75E02">
        <w:t xml:space="preserve"> were appealed</w:t>
      </w:r>
      <w:r w:rsidRPr="00A75E02">
        <w:t>.</w:t>
      </w:r>
      <w:r w:rsidR="001601D9">
        <w:t xml:space="preserve"> </w:t>
      </w:r>
      <w:r w:rsidRPr="00A75E02">
        <w:t>Following the examination of such appeals, in all cases senior prosecutors ruled to dismiss appeals as unfounded and maintain in force the decisions to stop a pre</w:t>
      </w:r>
      <w:r w:rsidR="00F25634" w:rsidRPr="00A75E02">
        <w:t>-</w:t>
      </w:r>
      <w:r w:rsidRPr="00A75E02">
        <w:t>trial investigation taken by prosecutors.</w:t>
      </w:r>
      <w:r w:rsidR="001601D9">
        <w:t xml:space="preserve"> </w:t>
      </w:r>
      <w:r w:rsidRPr="00A75E02">
        <w:t>POIS and ICPS data indicates that the courts received no appeals in relation to the above-mentioned rulings.</w:t>
      </w:r>
    </w:p>
    <w:p w14:paraId="16DFAC08" w14:textId="02A4A6D4" w:rsidR="009F7881" w:rsidRPr="00A75E02" w:rsidRDefault="009F7881" w:rsidP="009F7881">
      <w:pPr>
        <w:pStyle w:val="Textbodyindent"/>
        <w:spacing w:before="100" w:beforeAutospacing="1" w:after="100" w:afterAutospacing="1"/>
        <w:ind w:left="0" w:firstLine="0"/>
        <w:rPr>
          <w:rFonts w:cs="Times New Roman"/>
        </w:rPr>
      </w:pPr>
      <w:proofErr w:type="gramStart"/>
      <w:r w:rsidRPr="00A75E02">
        <w:t xml:space="preserve">21. Once the identity of an alleged criminal offender is established, </w:t>
      </w:r>
      <w:r w:rsidR="00DB501C" w:rsidRPr="00A75E02">
        <w:t xml:space="preserve">a </w:t>
      </w:r>
      <w:r w:rsidRPr="00A75E02">
        <w:t>pre</w:t>
      </w:r>
      <w:r w:rsidR="00F25634" w:rsidRPr="00A75E02">
        <w:t>-</w:t>
      </w:r>
      <w:r w:rsidRPr="00A75E02">
        <w:t xml:space="preserve">trial investigation </w:t>
      </w:r>
      <w:r w:rsidR="00EB2AAC" w:rsidRPr="00A75E02">
        <w:t>on</w:t>
      </w:r>
      <w:r w:rsidRPr="00A75E02">
        <w:t xml:space="preserve"> this category of </w:t>
      </w:r>
      <w:r w:rsidR="00EB2AAC" w:rsidRPr="00A75E02">
        <w:t>offences</w:t>
      </w:r>
      <w:r w:rsidRPr="00A75E02">
        <w:t xml:space="preserve"> </w:t>
      </w:r>
      <w:r w:rsidR="00EB2AAC" w:rsidRPr="00A75E02">
        <w:t>is</w:t>
      </w:r>
      <w:r w:rsidRPr="00A75E02">
        <w:t xml:space="preserve"> usually rather swift and effective: such pre</w:t>
      </w:r>
      <w:r w:rsidR="00F25634" w:rsidRPr="00A75E02">
        <w:t>-</w:t>
      </w:r>
      <w:r w:rsidRPr="00A75E02">
        <w:t xml:space="preserve">trial investigations are completed and the cases are </w:t>
      </w:r>
      <w:r w:rsidR="002A7039" w:rsidRPr="00A75E02">
        <w:t xml:space="preserve">usually </w:t>
      </w:r>
      <w:r w:rsidRPr="00A75E02">
        <w:t xml:space="preserve">handed over to courts </w:t>
      </w:r>
      <w:r w:rsidR="00B757D0">
        <w:t>under</w:t>
      </w:r>
      <w:r w:rsidRPr="00A75E02">
        <w:t xml:space="preserve"> </w:t>
      </w:r>
      <w:r w:rsidR="002A7039" w:rsidRPr="00A75E02">
        <w:t xml:space="preserve">the </w:t>
      </w:r>
      <w:r w:rsidRPr="00A75E02">
        <w:t>simplified procedure (the prosecutor</w:t>
      </w:r>
      <w:r w:rsidR="004445C2" w:rsidRPr="00A75E02">
        <w:t>’</w:t>
      </w:r>
      <w:r w:rsidRPr="00A75E02">
        <w:t>s statement</w:t>
      </w:r>
      <w:r w:rsidR="00572031">
        <w:t xml:space="preserve"> is issued</w:t>
      </w:r>
      <w:r w:rsidRPr="00A75E02">
        <w:t xml:space="preserve"> on the completion of the proceedings by a judicial penalty order</w:t>
      </w:r>
      <w:r w:rsidR="006849D5">
        <w:t xml:space="preserve"> in line with </w:t>
      </w:r>
      <w:r w:rsidR="006849D5" w:rsidRPr="00A75E02">
        <w:t>Article 418 of the CCP</w:t>
      </w:r>
      <w:r w:rsidRPr="00A75E02">
        <w:t>).</w:t>
      </w:r>
      <w:proofErr w:type="gramEnd"/>
      <w:r w:rsidRPr="00A75E02">
        <w:t xml:space="preserve"> POIS data indicates that even 35 </w:t>
      </w:r>
      <w:r w:rsidR="007023D9" w:rsidRPr="00A75E02">
        <w:t xml:space="preserve">out of total 43 </w:t>
      </w:r>
      <w:r w:rsidRPr="00A75E02">
        <w:t>pre</w:t>
      </w:r>
      <w:r w:rsidR="00F25634" w:rsidRPr="00A75E02">
        <w:t>-</w:t>
      </w:r>
      <w:r w:rsidRPr="00A75E02">
        <w:t xml:space="preserve">trial investigations </w:t>
      </w:r>
      <w:r w:rsidR="00CD28CB" w:rsidRPr="00A75E02">
        <w:rPr>
          <w:shd w:val="clear" w:color="auto" w:fill="FFFFFF"/>
        </w:rPr>
        <w:t xml:space="preserve">conducted on the basis of Article 170(2) and (3) of the CC and handed over to courts </w:t>
      </w:r>
      <w:r w:rsidRPr="00A75E02">
        <w:rPr>
          <w:shd w:val="clear" w:color="auto" w:fill="FFFFFF"/>
        </w:rPr>
        <w:t>were completed by the prosecutor</w:t>
      </w:r>
      <w:r w:rsidR="004C44FD" w:rsidRPr="00A75E02">
        <w:rPr>
          <w:shd w:val="clear" w:color="auto" w:fill="FFFFFF"/>
        </w:rPr>
        <w:t>’</w:t>
      </w:r>
      <w:r w:rsidRPr="00A75E02">
        <w:rPr>
          <w:shd w:val="clear" w:color="auto" w:fill="FFFFFF"/>
        </w:rPr>
        <w:t>s statement on the completion of the proceedings by a judicial penalty order</w:t>
      </w:r>
      <w:r w:rsidR="00F25634" w:rsidRPr="00A75E02">
        <w:rPr>
          <w:shd w:val="clear" w:color="auto" w:fill="FFFFFF"/>
        </w:rPr>
        <w:t>.</w:t>
      </w:r>
      <w:r w:rsidRPr="00A75E02">
        <w:t xml:space="preserve"> The applicable legal framework specifies that judicial penalty order may impose only penalties that are less severe than fixed-term custodial sentence or a life custodial sentence. </w:t>
      </w:r>
      <w:proofErr w:type="gramStart"/>
      <w:r w:rsidRPr="00A75E02">
        <w:t>Thus</w:t>
      </w:r>
      <w:r w:rsidR="00964B45" w:rsidRPr="00A75E02">
        <w:t>,</w:t>
      </w:r>
      <w:r w:rsidRPr="00A75E02">
        <w:t xml:space="preserve"> during the period </w:t>
      </w:r>
      <w:r w:rsidR="00082068" w:rsidRPr="00A75E02">
        <w:t>form</w:t>
      </w:r>
      <w:r w:rsidRPr="00A75E02">
        <w:t xml:space="preserve"> 1 January 2014 to 30 September 2017 in the majority of cases a fine ranging between 2 and 100 minimum subsistence level indicators (hereinafter referred to as MSL) was imposed on persons convicted for criminal offences specified in Article 2(2) and (3) of </w:t>
      </w:r>
      <w:r w:rsidR="00F25634" w:rsidRPr="00A75E02">
        <w:t>the</w:t>
      </w:r>
      <w:r w:rsidRPr="00A75E02">
        <w:t xml:space="preserve"> </w:t>
      </w:r>
      <w:r w:rsidR="00D833B8" w:rsidRPr="00A75E02">
        <w:t xml:space="preserve">CC </w:t>
      </w:r>
      <w:r w:rsidRPr="00A75E02">
        <w:t xml:space="preserve">(in 46 out of 57 criminal cases decided by the courts during the period </w:t>
      </w:r>
      <w:r w:rsidR="00D833B8" w:rsidRPr="00A75E02">
        <w:t>from</w:t>
      </w:r>
      <w:r w:rsidRPr="00A75E02">
        <w:t xml:space="preserve"> 1 Janu</w:t>
      </w:r>
      <w:r w:rsidR="00F25634" w:rsidRPr="00A75E02">
        <w:t>ary 2014 to 30 September 2017).</w:t>
      </w:r>
      <w:proofErr w:type="gramEnd"/>
      <w:r w:rsidRPr="00A75E02">
        <w:t xml:space="preserve"> Persons were imposed a sentence of imprisonment in </w:t>
      </w:r>
      <w:proofErr w:type="gramStart"/>
      <w:r w:rsidRPr="00A75E02">
        <w:t>9</w:t>
      </w:r>
      <w:proofErr w:type="gramEnd"/>
      <w:r w:rsidRPr="00A75E02">
        <w:t xml:space="preserve"> criminal cases and arrest was imposed in 2 criminal cases. </w:t>
      </w:r>
      <w:proofErr w:type="gramStart"/>
      <w:r w:rsidRPr="00A75E02">
        <w:t>In respect of two cases out of 23 pre</w:t>
      </w:r>
      <w:r w:rsidR="00F25634" w:rsidRPr="00A75E02">
        <w:t>-</w:t>
      </w:r>
      <w:r w:rsidRPr="00A75E02">
        <w:t xml:space="preserve">trial investigations conducted on the basis of Article 170(2) and (3) of </w:t>
      </w:r>
      <w:r w:rsidR="00F25634" w:rsidRPr="00A75E02">
        <w:t>the</w:t>
      </w:r>
      <w:r w:rsidRPr="00A75E02">
        <w:t xml:space="preserve"> </w:t>
      </w:r>
      <w:r w:rsidR="00A7186C" w:rsidRPr="00A75E02">
        <w:t xml:space="preserve">CC </w:t>
      </w:r>
      <w:r w:rsidRPr="00A75E02">
        <w:t>and discontinued</w:t>
      </w:r>
      <w:r w:rsidR="00F7539E" w:rsidRPr="00A75E02">
        <w:t>,</w:t>
      </w:r>
      <w:r w:rsidRPr="00A75E02">
        <w:t xml:space="preserve"> when the suspect is released from criminal liability on bail</w:t>
      </w:r>
      <w:r w:rsidR="00F7539E" w:rsidRPr="00A75E02">
        <w:t>,</w:t>
      </w:r>
      <w:r w:rsidRPr="00A75E02">
        <w:t xml:space="preserve"> punitive measures (contribution amounting to 5 MSL to the Fund for Crime Victims) were applied to a criminal offender and in respect of one case punitive measure (</w:t>
      </w:r>
      <w:r w:rsidR="00FA7063">
        <w:t>public works</w:t>
      </w:r>
      <w:r w:rsidRPr="00A75E02">
        <w:t>) was applied to a criminal offender.</w:t>
      </w:r>
      <w:proofErr w:type="gramEnd"/>
      <w:r w:rsidRPr="00A75E02">
        <w:t xml:space="preserve"> </w:t>
      </w:r>
    </w:p>
    <w:p w14:paraId="1DD773FE" w14:textId="77777777" w:rsidR="009F7881" w:rsidRPr="00A75E02" w:rsidRDefault="009F7881" w:rsidP="009F7881">
      <w:pPr>
        <w:pStyle w:val="Textbodyindent"/>
        <w:spacing w:before="100" w:beforeAutospacing="1" w:after="100" w:afterAutospacing="1"/>
        <w:ind w:left="0" w:firstLine="0"/>
        <w:rPr>
          <w:rFonts w:cs="Times New Roman"/>
        </w:rPr>
      </w:pPr>
      <w:r w:rsidRPr="00A75E02">
        <w:t>22. It should be noted that only 12 out of 63 pre</w:t>
      </w:r>
      <w:r w:rsidR="00F25634" w:rsidRPr="00A75E02">
        <w:t>-</w:t>
      </w:r>
      <w:r w:rsidRPr="00A75E02">
        <w:t xml:space="preserve">trial investigations discontinued in the absence of </w:t>
      </w:r>
      <w:r w:rsidR="00821B89" w:rsidRPr="00A75E02">
        <w:t xml:space="preserve">elements of </w:t>
      </w:r>
      <w:r w:rsidRPr="00A75E02">
        <w:t>criminal offence (</w:t>
      </w:r>
      <w:r w:rsidR="00D40A1D" w:rsidRPr="00A75E02">
        <w:t xml:space="preserve">paragraph 1 of </w:t>
      </w:r>
      <w:r w:rsidRPr="00A75E02">
        <w:t xml:space="preserve">Article 212, Article </w:t>
      </w:r>
      <w:r w:rsidR="00D40A1D" w:rsidRPr="00A75E02">
        <w:t>3</w:t>
      </w:r>
      <w:r w:rsidRPr="00A75E02">
        <w:t xml:space="preserve">(1)(1) of the CCP) were discontinued </w:t>
      </w:r>
      <w:r w:rsidR="00D40A1D" w:rsidRPr="00A75E02">
        <w:t>indicating</w:t>
      </w:r>
      <w:r w:rsidRPr="00A75E02">
        <w:t xml:space="preserve"> the principle </w:t>
      </w:r>
      <w:r w:rsidRPr="00A75E02">
        <w:rPr>
          <w:i/>
        </w:rPr>
        <w:t>ultima ratio</w:t>
      </w:r>
      <w:r w:rsidRPr="00A75E02">
        <w:t xml:space="preserve"> as one of the arguments.</w:t>
      </w:r>
      <w:r w:rsidR="001601D9">
        <w:t xml:space="preserve"> </w:t>
      </w:r>
    </w:p>
    <w:p w14:paraId="6D899CE1" w14:textId="77777777" w:rsidR="009F7881" w:rsidRPr="00A75E02" w:rsidRDefault="009F7881" w:rsidP="009F7881">
      <w:pPr>
        <w:pStyle w:val="Textbodyindent"/>
        <w:spacing w:before="100" w:beforeAutospacing="1" w:after="100" w:afterAutospacing="1"/>
        <w:ind w:left="0" w:firstLine="0"/>
        <w:rPr>
          <w:rFonts w:cs="Times New Roman"/>
        </w:rPr>
      </w:pPr>
      <w:proofErr w:type="gramStart"/>
      <w:r w:rsidRPr="00A75E02">
        <w:t xml:space="preserve">23. Moreover, the available data indicates that only in respect of 3 criminal cases persons accused of criminal offences stipulated in Article 170(2) and (3) of the CC were acquitted by the courts </w:t>
      </w:r>
      <w:r w:rsidR="005B0E3A" w:rsidRPr="00A75E02">
        <w:t>in</w:t>
      </w:r>
      <w:r w:rsidRPr="00A75E02">
        <w:t xml:space="preserve"> the absence of elements of criminal offence indicating the </w:t>
      </w:r>
      <w:r w:rsidRPr="00A75E02">
        <w:rPr>
          <w:i/>
        </w:rPr>
        <w:t>ultima ratio</w:t>
      </w:r>
      <w:r w:rsidRPr="00A75E02">
        <w:t xml:space="preserve"> nature of criminal liability and </w:t>
      </w:r>
      <w:r w:rsidR="00267EF4" w:rsidRPr="00A75E02">
        <w:t xml:space="preserve">in the </w:t>
      </w:r>
      <w:r w:rsidRPr="00A75E02">
        <w:t>absence of proof for the dangerousness of actions of the accused in respect of criminal liability.</w:t>
      </w:r>
      <w:proofErr w:type="gramEnd"/>
      <w:r w:rsidR="001601D9">
        <w:t xml:space="preserve"> </w:t>
      </w:r>
      <w:r w:rsidRPr="00A75E02">
        <w:t xml:space="preserve">In all the </w:t>
      </w:r>
      <w:proofErr w:type="gramStart"/>
      <w:r w:rsidRPr="00A75E02">
        <w:t>cases</w:t>
      </w:r>
      <w:proofErr w:type="gramEnd"/>
      <w:r w:rsidRPr="00A75E02">
        <w:t xml:space="preserve"> the prosecutors exercised their right enshrined in the CCP to appeal such </w:t>
      </w:r>
      <w:r w:rsidR="00D96F69" w:rsidRPr="00A75E02">
        <w:t>verdicts of non</w:t>
      </w:r>
      <w:r w:rsidR="00803614" w:rsidRPr="00A75E02">
        <w:t>-g</w:t>
      </w:r>
      <w:r w:rsidR="00D96F69" w:rsidRPr="00A75E02">
        <w:t>uilty</w:t>
      </w:r>
      <w:r w:rsidRPr="00A75E02">
        <w:t xml:space="preserve">, however their appeals were dismissed by higher courts. </w:t>
      </w:r>
    </w:p>
    <w:p w14:paraId="53545A20" w14:textId="77777777" w:rsidR="001C583B" w:rsidRPr="00A75E02" w:rsidRDefault="002B424A"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(d)</w:t>
      </w:r>
      <w:r w:rsidR="001601D9">
        <w:rPr>
          <w:rFonts w:ascii="Times New Roman" w:hAnsi="Times New Roman"/>
          <w:i/>
          <w:sz w:val="24"/>
          <w:szCs w:val="24"/>
        </w:rPr>
        <w:t xml:space="preserve">   </w:t>
      </w:r>
      <w:r w:rsidRPr="00A75E02">
        <w:rPr>
          <w:rFonts w:ascii="Times New Roman" w:hAnsi="Times New Roman"/>
          <w:i/>
          <w:sz w:val="24"/>
          <w:szCs w:val="24"/>
        </w:rPr>
        <w:t>Increase awareness-raising campaigns and other measures to counter hate speech, develop a long-term strategy to adequately combat hate speech and follow up on cases brought to the office of the inspector of journalist ethics.</w:t>
      </w:r>
    </w:p>
    <w:p w14:paraId="6612572A" w14:textId="2594DA85" w:rsidR="002B424A" w:rsidRPr="00A75E02" w:rsidRDefault="00851C3C" w:rsidP="00742FA3">
      <w:pPr>
        <w:spacing w:before="100" w:beforeAutospacing="1" w:after="100" w:afterAutospacing="1" w:line="240" w:lineRule="auto"/>
        <w:jc w:val="both"/>
        <w:rPr>
          <w:rFonts w:ascii="Times New Roman" w:hAnsi="Times New Roman" w:cs="Times New Roman"/>
          <w:sz w:val="24"/>
          <w:szCs w:val="24"/>
        </w:rPr>
      </w:pPr>
      <w:proofErr w:type="gramStart"/>
      <w:r w:rsidRPr="00A75E02">
        <w:rPr>
          <w:rFonts w:ascii="Times New Roman" w:hAnsi="Times New Roman"/>
          <w:sz w:val="24"/>
          <w:szCs w:val="24"/>
        </w:rPr>
        <w:t>24. As regards long-term strategies on the fight against incitement to hatred,</w:t>
      </w:r>
      <w:proofErr w:type="gramEnd"/>
      <w:r w:rsidRPr="00A75E02">
        <w:rPr>
          <w:rFonts w:ascii="Times New Roman" w:hAnsi="Times New Roman"/>
          <w:sz w:val="24"/>
          <w:szCs w:val="24"/>
        </w:rPr>
        <w:t xml:space="preserve"> on the initiative of the European Commission on 31 May 2016 the European Commi</w:t>
      </w:r>
      <w:r w:rsidR="00F25634" w:rsidRPr="00A75E02">
        <w:rPr>
          <w:rFonts w:ascii="Times New Roman" w:hAnsi="Times New Roman"/>
          <w:sz w:val="24"/>
          <w:szCs w:val="24"/>
        </w:rPr>
        <w:t>s</w:t>
      </w:r>
      <w:r w:rsidRPr="00A75E02">
        <w:rPr>
          <w:rFonts w:ascii="Times New Roman" w:hAnsi="Times New Roman"/>
          <w:sz w:val="24"/>
          <w:szCs w:val="24"/>
        </w:rPr>
        <w:t xml:space="preserve">sion along with major IT companies such as Facebook, Google, </w:t>
      </w:r>
      <w:proofErr w:type="spellStart"/>
      <w:r w:rsidRPr="00A75E02">
        <w:rPr>
          <w:rFonts w:ascii="Times New Roman" w:hAnsi="Times New Roman"/>
          <w:sz w:val="24"/>
          <w:szCs w:val="24"/>
        </w:rPr>
        <w:t>Youtube</w:t>
      </w:r>
      <w:proofErr w:type="spellEnd"/>
      <w:r w:rsidRPr="00A75E02">
        <w:rPr>
          <w:rFonts w:ascii="Times New Roman" w:hAnsi="Times New Roman"/>
          <w:sz w:val="24"/>
          <w:szCs w:val="24"/>
        </w:rPr>
        <w:t xml:space="preserve">, Microsoft and Twitter adopted the Code of conduct to combat </w:t>
      </w:r>
      <w:r w:rsidRPr="00A75E02">
        <w:rPr>
          <w:rFonts w:ascii="Times New Roman" w:hAnsi="Times New Roman"/>
          <w:sz w:val="24"/>
          <w:szCs w:val="24"/>
        </w:rPr>
        <w:lastRenderedPageBreak/>
        <w:t xml:space="preserve">the spread of incitement to hatred online. This Code of conduct </w:t>
      </w:r>
      <w:r w:rsidRPr="00A75E02">
        <w:rPr>
          <w:rFonts w:ascii="Times New Roman" w:hAnsi="Times New Roman"/>
          <w:i/>
          <w:sz w:val="24"/>
          <w:szCs w:val="24"/>
        </w:rPr>
        <w:t>inter alia</w:t>
      </w:r>
      <w:r w:rsidRPr="00A75E02">
        <w:rPr>
          <w:rFonts w:ascii="Times New Roman" w:hAnsi="Times New Roman"/>
          <w:sz w:val="24"/>
          <w:szCs w:val="24"/>
        </w:rPr>
        <w:t xml:space="preserve"> aims at ensuring enhanced effectiveness and rapidity of cooperation between IT companies and institutions of the EU Member States related to the examination of report</w:t>
      </w:r>
      <w:r w:rsidR="000378AD" w:rsidRPr="00A75E02">
        <w:rPr>
          <w:rFonts w:ascii="Times New Roman" w:hAnsi="Times New Roman"/>
          <w:sz w:val="24"/>
          <w:szCs w:val="24"/>
        </w:rPr>
        <w:t>s</w:t>
      </w:r>
      <w:r w:rsidRPr="00A75E02">
        <w:rPr>
          <w:rFonts w:ascii="Times New Roman" w:hAnsi="Times New Roman"/>
          <w:sz w:val="24"/>
          <w:szCs w:val="24"/>
        </w:rPr>
        <w:t xml:space="preserve"> on incitement to hatred, removal of such content or access to it. Thus</w:t>
      </w:r>
      <w:r w:rsidR="000378AD" w:rsidRPr="00A75E02">
        <w:rPr>
          <w:rFonts w:ascii="Times New Roman" w:hAnsi="Times New Roman"/>
          <w:sz w:val="24"/>
          <w:szCs w:val="24"/>
        </w:rPr>
        <w:t>,</w:t>
      </w:r>
      <w:r w:rsidRPr="00A75E02">
        <w:rPr>
          <w:rFonts w:ascii="Times New Roman" w:hAnsi="Times New Roman"/>
          <w:sz w:val="24"/>
          <w:szCs w:val="24"/>
        </w:rPr>
        <w:t xml:space="preserve"> the EU Member States undertook to nominate national liaison officers responsible for direct cooperation with IT companies in </w:t>
      </w:r>
      <w:r w:rsidR="00FA7063">
        <w:rPr>
          <w:rFonts w:ascii="Times New Roman" w:hAnsi="Times New Roman"/>
          <w:sz w:val="24"/>
          <w:szCs w:val="24"/>
        </w:rPr>
        <w:t>the fiel</w:t>
      </w:r>
      <w:r w:rsidR="00374567" w:rsidRPr="00A75E02">
        <w:rPr>
          <w:rFonts w:ascii="Times New Roman" w:hAnsi="Times New Roman"/>
          <w:sz w:val="24"/>
          <w:szCs w:val="24"/>
        </w:rPr>
        <w:t>d of</w:t>
      </w:r>
      <w:r w:rsidRPr="00A75E02">
        <w:rPr>
          <w:rFonts w:ascii="Times New Roman" w:hAnsi="Times New Roman"/>
          <w:sz w:val="24"/>
          <w:szCs w:val="24"/>
        </w:rPr>
        <w:t xml:space="preserve"> submission and examination of reports on the content inciting to hatred. </w:t>
      </w:r>
      <w:proofErr w:type="gramStart"/>
      <w:r w:rsidRPr="00A75E02">
        <w:rPr>
          <w:rFonts w:ascii="Times New Roman" w:hAnsi="Times New Roman"/>
          <w:sz w:val="24"/>
          <w:szCs w:val="24"/>
        </w:rPr>
        <w:t>On the basis of</w:t>
      </w:r>
      <w:proofErr w:type="gramEnd"/>
      <w:r w:rsidRPr="00A75E02">
        <w:rPr>
          <w:rFonts w:ascii="Times New Roman" w:hAnsi="Times New Roman"/>
          <w:sz w:val="24"/>
          <w:szCs w:val="24"/>
        </w:rPr>
        <w:t xml:space="preserve"> the above-mentioned Code the representative of the Office of the Inspector of Journalist Ethics was appointed as Lithuania’s national liaison officer. This will form the basis for expeditious removal of speech of discord from social networks.</w:t>
      </w:r>
    </w:p>
    <w:p w14:paraId="68A6C26B" w14:textId="27BD115A" w:rsidR="002B424A" w:rsidRPr="00A75E02" w:rsidRDefault="00851C3C"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25. In addition</w:t>
      </w:r>
      <w:r w:rsidR="00283AA3" w:rsidRPr="00A75E02">
        <w:rPr>
          <w:rFonts w:ascii="Times New Roman" w:hAnsi="Times New Roman"/>
          <w:sz w:val="24"/>
          <w:szCs w:val="24"/>
        </w:rPr>
        <w:t>,</w:t>
      </w:r>
      <w:r w:rsidRPr="00A75E02">
        <w:rPr>
          <w:rFonts w:ascii="Times New Roman" w:hAnsi="Times New Roman"/>
          <w:sz w:val="24"/>
          <w:szCs w:val="24"/>
        </w:rPr>
        <w:t xml:space="preserve"> it </w:t>
      </w:r>
      <w:proofErr w:type="gramStart"/>
      <w:r w:rsidRPr="00A75E02">
        <w:rPr>
          <w:rFonts w:ascii="Times New Roman" w:hAnsi="Times New Roman"/>
          <w:sz w:val="24"/>
          <w:szCs w:val="24"/>
        </w:rPr>
        <w:t>should be noted</w:t>
      </w:r>
      <w:proofErr w:type="gramEnd"/>
      <w:r w:rsidRPr="00A75E02">
        <w:rPr>
          <w:rFonts w:ascii="Times New Roman" w:hAnsi="Times New Roman"/>
          <w:sz w:val="24"/>
          <w:szCs w:val="24"/>
        </w:rPr>
        <w:t xml:space="preserve"> that on 23 May 2017 a useful debate was held in the Ministry of Justice with the participation of representatives of online media, IT companies Facebook and Google, state institutions and civil society. The participants discussed common efforts to </w:t>
      </w:r>
      <w:r w:rsidR="009E7B1F">
        <w:rPr>
          <w:rFonts w:ascii="Times New Roman" w:hAnsi="Times New Roman"/>
          <w:sz w:val="24"/>
          <w:szCs w:val="24"/>
        </w:rPr>
        <w:t>combat</w:t>
      </w:r>
      <w:r w:rsidRPr="00A75E02">
        <w:rPr>
          <w:rFonts w:ascii="Times New Roman" w:hAnsi="Times New Roman"/>
          <w:sz w:val="24"/>
          <w:szCs w:val="24"/>
        </w:rPr>
        <w:t xml:space="preserve"> the incitement to hatred on web platforms. In addition</w:t>
      </w:r>
      <w:r w:rsidR="00430170" w:rsidRPr="00A75E02">
        <w:rPr>
          <w:rFonts w:ascii="Times New Roman" w:hAnsi="Times New Roman"/>
          <w:sz w:val="24"/>
          <w:szCs w:val="24"/>
        </w:rPr>
        <w:t>,</w:t>
      </w:r>
      <w:r w:rsidRPr="00A75E02">
        <w:rPr>
          <w:rFonts w:ascii="Times New Roman" w:hAnsi="Times New Roman"/>
          <w:sz w:val="24"/>
          <w:szCs w:val="24"/>
        </w:rPr>
        <w:t xml:space="preserve"> new projects are being developed that should encourage public awareness-raising and critical thinking in relation to </w:t>
      </w:r>
      <w:r w:rsidR="00430170" w:rsidRPr="00A75E02">
        <w:rPr>
          <w:rFonts w:ascii="Times New Roman" w:hAnsi="Times New Roman"/>
          <w:sz w:val="24"/>
          <w:szCs w:val="24"/>
        </w:rPr>
        <w:t xml:space="preserve">the </w:t>
      </w:r>
      <w:r w:rsidRPr="00A75E02">
        <w:rPr>
          <w:rFonts w:ascii="Times New Roman" w:hAnsi="Times New Roman"/>
          <w:sz w:val="24"/>
          <w:szCs w:val="24"/>
        </w:rPr>
        <w:t>spread of disinformation in the form of comments in web pages.</w:t>
      </w:r>
    </w:p>
    <w:p w14:paraId="607D6CBE" w14:textId="7080E9A4" w:rsidR="00177ACA" w:rsidRPr="00A75E02" w:rsidRDefault="00851C3C" w:rsidP="00742FA3">
      <w:pPr>
        <w:spacing w:before="100" w:beforeAutospacing="1" w:after="100" w:afterAutospacing="1" w:line="240" w:lineRule="auto"/>
        <w:jc w:val="both"/>
        <w:rPr>
          <w:rFonts w:ascii="Times New Roman" w:hAnsi="Times New Roman" w:cs="Times New Roman"/>
          <w:sz w:val="24"/>
          <w:szCs w:val="24"/>
        </w:rPr>
      </w:pPr>
      <w:proofErr w:type="gramStart"/>
      <w:r w:rsidRPr="00A75E02">
        <w:rPr>
          <w:rFonts w:ascii="Times New Roman" w:hAnsi="Times New Roman"/>
          <w:sz w:val="24"/>
          <w:szCs w:val="24"/>
        </w:rPr>
        <w:t>26. With a view to combating the expressions of hat</w:t>
      </w:r>
      <w:r w:rsidR="00FE0042" w:rsidRPr="00A75E02">
        <w:rPr>
          <w:rFonts w:ascii="Times New Roman" w:hAnsi="Times New Roman"/>
          <w:sz w:val="24"/>
          <w:szCs w:val="24"/>
        </w:rPr>
        <w:t>red in public information (with</w:t>
      </w:r>
      <w:r w:rsidRPr="00A75E02">
        <w:rPr>
          <w:rFonts w:ascii="Times New Roman" w:hAnsi="Times New Roman"/>
          <w:sz w:val="24"/>
          <w:szCs w:val="24"/>
        </w:rPr>
        <w:t>out distinguishing any ground for expre</w:t>
      </w:r>
      <w:r w:rsidR="00FE0042" w:rsidRPr="00A75E02">
        <w:rPr>
          <w:rFonts w:ascii="Times New Roman" w:hAnsi="Times New Roman"/>
          <w:sz w:val="24"/>
          <w:szCs w:val="24"/>
        </w:rPr>
        <w:t>s</w:t>
      </w:r>
      <w:r w:rsidRPr="00A75E02">
        <w:rPr>
          <w:rFonts w:ascii="Times New Roman" w:hAnsi="Times New Roman"/>
          <w:sz w:val="24"/>
          <w:szCs w:val="24"/>
        </w:rPr>
        <w:t>sing hatred)</w:t>
      </w:r>
      <w:r w:rsidR="007660D3" w:rsidRPr="00A75E02">
        <w:rPr>
          <w:rFonts w:ascii="Times New Roman" w:hAnsi="Times New Roman"/>
          <w:sz w:val="24"/>
          <w:szCs w:val="24"/>
        </w:rPr>
        <w:t>,</w:t>
      </w:r>
      <w:r w:rsidRPr="00A75E02">
        <w:rPr>
          <w:rFonts w:ascii="Times New Roman" w:hAnsi="Times New Roman"/>
          <w:sz w:val="24"/>
          <w:szCs w:val="24"/>
        </w:rPr>
        <w:t xml:space="preserve"> in 2014 the Office of the Inspector of Journalist Ethics (hereinafter referred to as </w:t>
      </w:r>
      <w:r w:rsidR="00FE0042" w:rsidRPr="00A75E02">
        <w:rPr>
          <w:rFonts w:ascii="Times New Roman" w:hAnsi="Times New Roman"/>
          <w:sz w:val="24"/>
          <w:szCs w:val="24"/>
        </w:rPr>
        <w:t xml:space="preserve">the </w:t>
      </w:r>
      <w:r w:rsidRPr="00A75E02">
        <w:rPr>
          <w:rFonts w:ascii="Times New Roman" w:hAnsi="Times New Roman"/>
          <w:sz w:val="24"/>
          <w:szCs w:val="24"/>
        </w:rPr>
        <w:t>OIJE) participated actively in the training for the representatives of regional media organised by the non-governmental organisation ‘Media4change’ the aim of which was to train</w:t>
      </w:r>
      <w:r w:rsidR="009E7B1F">
        <w:rPr>
          <w:rFonts w:ascii="Times New Roman" w:hAnsi="Times New Roman"/>
          <w:sz w:val="24"/>
          <w:szCs w:val="24"/>
        </w:rPr>
        <w:t xml:space="preserve"> on how</w:t>
      </w:r>
      <w:r w:rsidRPr="00A75E02">
        <w:rPr>
          <w:rFonts w:ascii="Times New Roman" w:hAnsi="Times New Roman"/>
          <w:sz w:val="24"/>
          <w:szCs w:val="24"/>
        </w:rPr>
        <w:t xml:space="preserve"> to recognize hate speech</w:t>
      </w:r>
      <w:r w:rsidR="00636F86" w:rsidRPr="00A75E02">
        <w:rPr>
          <w:rFonts w:ascii="Times New Roman" w:hAnsi="Times New Roman"/>
          <w:sz w:val="24"/>
          <w:szCs w:val="24"/>
        </w:rPr>
        <w:t xml:space="preserve"> and</w:t>
      </w:r>
      <w:r w:rsidRPr="00A75E02">
        <w:rPr>
          <w:rFonts w:ascii="Times New Roman" w:hAnsi="Times New Roman"/>
          <w:sz w:val="24"/>
          <w:szCs w:val="24"/>
        </w:rPr>
        <w:t xml:space="preserve"> avoid it in the</w:t>
      </w:r>
      <w:r w:rsidR="009E7B1F">
        <w:rPr>
          <w:rFonts w:ascii="Times New Roman" w:hAnsi="Times New Roman"/>
          <w:sz w:val="24"/>
          <w:szCs w:val="24"/>
        </w:rPr>
        <w:t xml:space="preserve"> professional</w:t>
      </w:r>
      <w:r w:rsidRPr="00A75E02">
        <w:rPr>
          <w:rFonts w:ascii="Times New Roman" w:hAnsi="Times New Roman"/>
          <w:sz w:val="24"/>
          <w:szCs w:val="24"/>
        </w:rPr>
        <w:t xml:space="preserve"> activities of a journalist</w:t>
      </w:r>
      <w:r w:rsidR="009E7B1F">
        <w:rPr>
          <w:rFonts w:ascii="Times New Roman" w:hAnsi="Times New Roman"/>
          <w:sz w:val="24"/>
          <w:szCs w:val="24"/>
        </w:rPr>
        <w:t>s</w:t>
      </w:r>
      <w:r w:rsidRPr="00A75E02">
        <w:rPr>
          <w:rFonts w:ascii="Times New Roman" w:hAnsi="Times New Roman"/>
          <w:sz w:val="24"/>
          <w:szCs w:val="24"/>
        </w:rPr>
        <w:t>.</w:t>
      </w:r>
      <w:proofErr w:type="gramEnd"/>
      <w:r w:rsidRPr="00A75E02">
        <w:rPr>
          <w:rFonts w:ascii="Times New Roman" w:hAnsi="Times New Roman"/>
          <w:sz w:val="24"/>
          <w:szCs w:val="24"/>
        </w:rPr>
        <w:t xml:space="preserve"> In </w:t>
      </w:r>
      <w:r w:rsidR="00636C77" w:rsidRPr="00A75E02">
        <w:rPr>
          <w:rFonts w:ascii="Times New Roman" w:hAnsi="Times New Roman"/>
          <w:sz w:val="24"/>
          <w:szCs w:val="24"/>
        </w:rPr>
        <w:t xml:space="preserve">addition, in </w:t>
      </w:r>
      <w:r w:rsidRPr="00A75E02">
        <w:rPr>
          <w:rFonts w:ascii="Times New Roman" w:hAnsi="Times New Roman"/>
          <w:sz w:val="24"/>
          <w:szCs w:val="24"/>
        </w:rPr>
        <w:t xml:space="preserve">2014 training for the representatives of the Lithuanian Union of Journalists on the topic ‘Ethics of Journalists and Media Law: Is Competition for Ethical Journalism Possible?’ was organised, which provided recommendations to journalists </w:t>
      </w:r>
      <w:r w:rsidR="000127E5" w:rsidRPr="00A75E02">
        <w:rPr>
          <w:rFonts w:ascii="Times New Roman" w:hAnsi="Times New Roman"/>
          <w:sz w:val="24"/>
          <w:szCs w:val="24"/>
        </w:rPr>
        <w:t xml:space="preserve">on </w:t>
      </w:r>
      <w:r w:rsidRPr="00A75E02">
        <w:rPr>
          <w:rFonts w:ascii="Times New Roman" w:hAnsi="Times New Roman"/>
          <w:sz w:val="24"/>
          <w:szCs w:val="24"/>
        </w:rPr>
        <w:t>how to avoid the spread of hate speech when reporting</w:t>
      </w:r>
      <w:r w:rsidR="009E7B1F">
        <w:rPr>
          <w:rFonts w:ascii="Times New Roman" w:hAnsi="Times New Roman"/>
          <w:sz w:val="24"/>
          <w:szCs w:val="24"/>
        </w:rPr>
        <w:t xml:space="preserve"> about the</w:t>
      </w:r>
      <w:r w:rsidRPr="00A75E02">
        <w:rPr>
          <w:rFonts w:ascii="Times New Roman" w:hAnsi="Times New Roman"/>
          <w:sz w:val="24"/>
          <w:szCs w:val="24"/>
        </w:rPr>
        <w:t xml:space="preserve"> events and quoting sources of</w:t>
      </w:r>
      <w:r w:rsidR="00FE0042" w:rsidRPr="00A75E02">
        <w:rPr>
          <w:rFonts w:ascii="Times New Roman" w:hAnsi="Times New Roman"/>
          <w:sz w:val="24"/>
          <w:szCs w:val="24"/>
        </w:rPr>
        <w:t xml:space="preserve"> information and how to respond</w:t>
      </w:r>
      <w:r w:rsidRPr="00A75E02">
        <w:rPr>
          <w:rFonts w:ascii="Times New Roman" w:hAnsi="Times New Roman"/>
          <w:sz w:val="24"/>
          <w:szCs w:val="24"/>
        </w:rPr>
        <w:t xml:space="preserve"> properly. </w:t>
      </w:r>
      <w:r w:rsidR="002D608C" w:rsidRPr="00A75E02">
        <w:rPr>
          <w:rFonts w:ascii="Times New Roman" w:hAnsi="Times New Roman"/>
          <w:sz w:val="24"/>
          <w:szCs w:val="24"/>
        </w:rPr>
        <w:t>The Inspector of Journalist Ethics i</w:t>
      </w:r>
      <w:r w:rsidRPr="00A75E02">
        <w:rPr>
          <w:rFonts w:ascii="Times New Roman" w:hAnsi="Times New Roman"/>
          <w:sz w:val="24"/>
          <w:szCs w:val="24"/>
        </w:rPr>
        <w:t xml:space="preserve">n cooperation with the Police Headquarters of </w:t>
      </w:r>
      <w:proofErr w:type="spellStart"/>
      <w:r w:rsidRPr="00A75E02">
        <w:rPr>
          <w:rFonts w:ascii="Times New Roman" w:hAnsi="Times New Roman"/>
          <w:sz w:val="24"/>
          <w:szCs w:val="24"/>
        </w:rPr>
        <w:t>Utena</w:t>
      </w:r>
      <w:proofErr w:type="spellEnd"/>
      <w:r w:rsidRPr="00A75E02">
        <w:rPr>
          <w:rFonts w:ascii="Times New Roman" w:hAnsi="Times New Roman"/>
          <w:sz w:val="24"/>
          <w:szCs w:val="24"/>
        </w:rPr>
        <w:t xml:space="preserve"> County organised training for police officers working at police stations in </w:t>
      </w:r>
      <w:proofErr w:type="spellStart"/>
      <w:r w:rsidRPr="00A75E02">
        <w:rPr>
          <w:rFonts w:ascii="Times New Roman" w:hAnsi="Times New Roman"/>
          <w:sz w:val="24"/>
          <w:szCs w:val="24"/>
        </w:rPr>
        <w:t>Anykščiai</w:t>
      </w:r>
      <w:proofErr w:type="spellEnd"/>
      <w:r w:rsidRPr="00A75E02">
        <w:rPr>
          <w:rFonts w:ascii="Times New Roman" w:hAnsi="Times New Roman"/>
          <w:sz w:val="24"/>
          <w:szCs w:val="24"/>
        </w:rPr>
        <w:t xml:space="preserve">, </w:t>
      </w:r>
      <w:proofErr w:type="spellStart"/>
      <w:r w:rsidRPr="00A75E02">
        <w:rPr>
          <w:rFonts w:ascii="Times New Roman" w:hAnsi="Times New Roman"/>
          <w:sz w:val="24"/>
          <w:szCs w:val="24"/>
        </w:rPr>
        <w:t>Ignalina</w:t>
      </w:r>
      <w:proofErr w:type="spellEnd"/>
      <w:r w:rsidRPr="00A75E02">
        <w:rPr>
          <w:rFonts w:ascii="Times New Roman" w:hAnsi="Times New Roman"/>
          <w:sz w:val="24"/>
          <w:szCs w:val="24"/>
        </w:rPr>
        <w:t xml:space="preserve">, </w:t>
      </w:r>
      <w:proofErr w:type="spellStart"/>
      <w:r w:rsidRPr="00A75E02">
        <w:rPr>
          <w:rFonts w:ascii="Times New Roman" w:hAnsi="Times New Roman"/>
          <w:sz w:val="24"/>
          <w:szCs w:val="24"/>
        </w:rPr>
        <w:t>Molėtai</w:t>
      </w:r>
      <w:proofErr w:type="spellEnd"/>
      <w:r w:rsidRPr="00A75E02">
        <w:rPr>
          <w:rFonts w:ascii="Times New Roman" w:hAnsi="Times New Roman"/>
          <w:sz w:val="24"/>
          <w:szCs w:val="24"/>
        </w:rPr>
        <w:t xml:space="preserve">, </w:t>
      </w:r>
      <w:proofErr w:type="spellStart"/>
      <w:r w:rsidRPr="00A75E02">
        <w:rPr>
          <w:rFonts w:ascii="Times New Roman" w:hAnsi="Times New Roman"/>
          <w:sz w:val="24"/>
          <w:szCs w:val="24"/>
        </w:rPr>
        <w:t>Visaginas</w:t>
      </w:r>
      <w:proofErr w:type="spellEnd"/>
      <w:r w:rsidRPr="00A75E02">
        <w:rPr>
          <w:rFonts w:ascii="Times New Roman" w:hAnsi="Times New Roman"/>
          <w:sz w:val="24"/>
          <w:szCs w:val="24"/>
        </w:rPr>
        <w:t xml:space="preserve"> and </w:t>
      </w:r>
      <w:proofErr w:type="spellStart"/>
      <w:r w:rsidRPr="00A75E02">
        <w:rPr>
          <w:rFonts w:ascii="Times New Roman" w:hAnsi="Times New Roman"/>
          <w:sz w:val="24"/>
          <w:szCs w:val="24"/>
        </w:rPr>
        <w:t>Zarasai</w:t>
      </w:r>
      <w:proofErr w:type="spellEnd"/>
      <w:r w:rsidRPr="00A75E02">
        <w:rPr>
          <w:rFonts w:ascii="Times New Roman" w:hAnsi="Times New Roman"/>
          <w:sz w:val="24"/>
          <w:szCs w:val="24"/>
        </w:rPr>
        <w:t>: a workshop ‘Public Information in Police Activities: Between the Duty to Inform and Protection of Human Rights’ was held on 11 September 2014. The workshop also d</w:t>
      </w:r>
      <w:r w:rsidR="00FE0042" w:rsidRPr="00A75E02">
        <w:rPr>
          <w:rFonts w:ascii="Times New Roman" w:hAnsi="Times New Roman"/>
          <w:sz w:val="24"/>
          <w:szCs w:val="24"/>
        </w:rPr>
        <w:t xml:space="preserve">iscussed issues related to the </w:t>
      </w:r>
      <w:r w:rsidRPr="00A75E02">
        <w:rPr>
          <w:rFonts w:ascii="Times New Roman" w:hAnsi="Times New Roman"/>
          <w:sz w:val="24"/>
          <w:szCs w:val="24"/>
        </w:rPr>
        <w:t>investigation of hate incitement online.</w:t>
      </w:r>
    </w:p>
    <w:p w14:paraId="46C1A81D" w14:textId="77777777" w:rsidR="002B424A" w:rsidRPr="00A75E02" w:rsidRDefault="00B8711F" w:rsidP="00742FA3">
      <w:pPr>
        <w:spacing w:before="100" w:beforeAutospacing="1" w:after="100" w:afterAutospacing="1" w:line="240" w:lineRule="auto"/>
        <w:jc w:val="both"/>
        <w:rPr>
          <w:rFonts w:ascii="Times New Roman" w:hAnsi="Times New Roman" w:cs="Times New Roman"/>
          <w:sz w:val="24"/>
          <w:szCs w:val="24"/>
        </w:rPr>
      </w:pPr>
      <w:proofErr w:type="gramStart"/>
      <w:r w:rsidRPr="00A75E02">
        <w:rPr>
          <w:rFonts w:ascii="Times New Roman" w:hAnsi="Times New Roman"/>
          <w:sz w:val="24"/>
          <w:szCs w:val="24"/>
        </w:rPr>
        <w:t>27. In the fourth quarter of 2015,</w:t>
      </w:r>
      <w:r w:rsidR="00691F64">
        <w:rPr>
          <w:rFonts w:ascii="Times New Roman" w:hAnsi="Times New Roman"/>
          <w:sz w:val="24"/>
          <w:szCs w:val="24"/>
        </w:rPr>
        <w:t xml:space="preserve"> with a goal of</w:t>
      </w:r>
      <w:r w:rsidRPr="00A75E02">
        <w:rPr>
          <w:rFonts w:ascii="Times New Roman" w:hAnsi="Times New Roman"/>
          <w:sz w:val="24"/>
          <w:szCs w:val="24"/>
        </w:rPr>
        <w:t xml:space="preserve"> </w:t>
      </w:r>
      <w:r w:rsidR="00194157" w:rsidRPr="00A75E02">
        <w:rPr>
          <w:rFonts w:ascii="Times New Roman" w:hAnsi="Times New Roman"/>
          <w:sz w:val="24"/>
          <w:szCs w:val="24"/>
        </w:rPr>
        <w:t>reducing the scope of</w:t>
      </w:r>
      <w:r w:rsidRPr="00A75E02">
        <w:rPr>
          <w:rFonts w:ascii="Times New Roman" w:hAnsi="Times New Roman"/>
          <w:sz w:val="24"/>
          <w:szCs w:val="24"/>
        </w:rPr>
        <w:t xml:space="preserve"> hate speech in public sphere (readers’ comments in web portals), the OIJE submitted to the Internet Media Association a model hate speech compendium in order to enable web portals to effectively and closely monitor the speech of persons writing comments and to remove expeditiously comments containing expressions of hate.</w:t>
      </w:r>
      <w:proofErr w:type="gramEnd"/>
    </w:p>
    <w:p w14:paraId="0E5B3A61" w14:textId="65E2FEAE" w:rsidR="00F000F7" w:rsidRPr="00A75E02" w:rsidRDefault="00B8711F"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28. In 2017 a conference ‘Hate Speech: Assessment and Responsibility’ </w:t>
      </w:r>
      <w:r w:rsidR="00055707" w:rsidRPr="00A75E02">
        <w:rPr>
          <w:rFonts w:ascii="Times New Roman" w:hAnsi="Times New Roman"/>
          <w:sz w:val="24"/>
          <w:szCs w:val="24"/>
        </w:rPr>
        <w:t>focusing on the aspects of hate speech was held</w:t>
      </w:r>
      <w:r w:rsidR="009E7B1F">
        <w:rPr>
          <w:rFonts w:ascii="Times New Roman" w:hAnsi="Times New Roman"/>
          <w:sz w:val="24"/>
          <w:szCs w:val="24"/>
        </w:rPr>
        <w:t xml:space="preserve"> in the NMD</w:t>
      </w:r>
      <w:r w:rsidR="00055707" w:rsidRPr="00A75E02">
        <w:rPr>
          <w:rFonts w:ascii="Times New Roman" w:hAnsi="Times New Roman"/>
          <w:sz w:val="24"/>
          <w:szCs w:val="24"/>
        </w:rPr>
        <w:t xml:space="preserve"> </w:t>
      </w:r>
      <w:r w:rsidRPr="00A75E02">
        <w:rPr>
          <w:rFonts w:ascii="Times New Roman" w:hAnsi="Times New Roman"/>
          <w:sz w:val="24"/>
          <w:szCs w:val="24"/>
        </w:rPr>
        <w:t>for the representatives of public information providers (disseminators), national mino</w:t>
      </w:r>
      <w:r w:rsidR="009E7B1F">
        <w:rPr>
          <w:rFonts w:ascii="Times New Roman" w:hAnsi="Times New Roman"/>
          <w:sz w:val="24"/>
          <w:szCs w:val="24"/>
        </w:rPr>
        <w:t>rities and the public</w:t>
      </w:r>
      <w:r w:rsidRPr="00A75E02">
        <w:rPr>
          <w:rFonts w:ascii="Times New Roman" w:hAnsi="Times New Roman"/>
          <w:sz w:val="24"/>
          <w:szCs w:val="24"/>
        </w:rPr>
        <w:t xml:space="preserve">. </w:t>
      </w:r>
    </w:p>
    <w:p w14:paraId="5CDB468C" w14:textId="7884E7F6" w:rsidR="004A3D64" w:rsidRPr="00A75E02" w:rsidRDefault="00DB518B" w:rsidP="00742FA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29. </w:t>
      </w:r>
      <w:r w:rsidR="00076EFC">
        <w:rPr>
          <w:rFonts w:ascii="Times New Roman" w:hAnsi="Times New Roman"/>
          <w:sz w:val="24"/>
          <w:szCs w:val="24"/>
        </w:rPr>
        <w:t>Since</w:t>
      </w:r>
      <w:r w:rsidRPr="00A75E02">
        <w:rPr>
          <w:rFonts w:ascii="Times New Roman" w:hAnsi="Times New Roman"/>
          <w:sz w:val="24"/>
          <w:szCs w:val="24"/>
        </w:rPr>
        <w:t xml:space="preserve"> 2014 the </w:t>
      </w:r>
      <w:r w:rsidR="0057381D">
        <w:rPr>
          <w:rFonts w:ascii="Times New Roman" w:hAnsi="Times New Roman"/>
          <w:sz w:val="24"/>
          <w:szCs w:val="24"/>
        </w:rPr>
        <w:t>OEOO</w:t>
      </w:r>
      <w:r w:rsidR="00194157" w:rsidRPr="00A75E02">
        <w:rPr>
          <w:rFonts w:ascii="Times New Roman" w:hAnsi="Times New Roman"/>
          <w:sz w:val="24"/>
          <w:szCs w:val="24"/>
        </w:rPr>
        <w:t xml:space="preserve"> and the National Equality </w:t>
      </w:r>
      <w:r w:rsidRPr="00A75E02">
        <w:rPr>
          <w:rFonts w:ascii="Times New Roman" w:hAnsi="Times New Roman"/>
          <w:sz w:val="24"/>
          <w:szCs w:val="24"/>
        </w:rPr>
        <w:t xml:space="preserve">and Diversity Forum </w:t>
      </w:r>
      <w:r w:rsidR="00076EFC">
        <w:rPr>
          <w:rFonts w:ascii="Times New Roman" w:hAnsi="Times New Roman"/>
          <w:sz w:val="24"/>
          <w:szCs w:val="24"/>
        </w:rPr>
        <w:t>has been organising</w:t>
      </w:r>
      <w:r w:rsidRPr="00A75E02">
        <w:rPr>
          <w:rFonts w:ascii="Times New Roman" w:hAnsi="Times New Roman"/>
          <w:sz w:val="24"/>
          <w:szCs w:val="24"/>
        </w:rPr>
        <w:t xml:space="preserve"> </w:t>
      </w:r>
      <w:r w:rsidR="001A390D" w:rsidRPr="00A75E02">
        <w:rPr>
          <w:rFonts w:ascii="Times New Roman" w:hAnsi="Times New Roman"/>
          <w:sz w:val="24"/>
          <w:szCs w:val="24"/>
        </w:rPr>
        <w:t>annual</w:t>
      </w:r>
      <w:r w:rsidRPr="00A75E02">
        <w:rPr>
          <w:rFonts w:ascii="Times New Roman" w:hAnsi="Times New Roman"/>
          <w:sz w:val="24"/>
          <w:szCs w:val="24"/>
        </w:rPr>
        <w:t xml:space="preserve"> National Equality and Diversity Awards aimed at awarding individuals, organisations, ideas or projects, initiatives, activities and deeds that are important in the field of equality and diversity. </w:t>
      </w:r>
      <w:r w:rsidR="008D4A23">
        <w:rPr>
          <w:rFonts w:ascii="Times New Roman" w:hAnsi="Times New Roman"/>
          <w:sz w:val="24"/>
          <w:szCs w:val="24"/>
        </w:rPr>
        <w:t xml:space="preserve">In </w:t>
      </w:r>
      <w:proofErr w:type="gramStart"/>
      <w:r w:rsidR="008D4A23">
        <w:rPr>
          <w:rFonts w:ascii="Times New Roman" w:hAnsi="Times New Roman"/>
          <w:sz w:val="24"/>
          <w:szCs w:val="24"/>
        </w:rPr>
        <w:t>2017</w:t>
      </w:r>
      <w:proofErr w:type="gramEnd"/>
      <w:r w:rsidRPr="00A75E02">
        <w:rPr>
          <w:rFonts w:ascii="Times New Roman" w:hAnsi="Times New Roman"/>
          <w:sz w:val="24"/>
          <w:szCs w:val="24"/>
        </w:rPr>
        <w:t xml:space="preserve"> the Awards were organise</w:t>
      </w:r>
      <w:r w:rsidR="00194157" w:rsidRPr="00A75E02">
        <w:rPr>
          <w:rFonts w:ascii="Times New Roman" w:hAnsi="Times New Roman"/>
          <w:sz w:val="24"/>
          <w:szCs w:val="24"/>
        </w:rPr>
        <w:t>d in cooperation with the Embass</w:t>
      </w:r>
      <w:r w:rsidRPr="00A75E02">
        <w:rPr>
          <w:rFonts w:ascii="Times New Roman" w:hAnsi="Times New Roman"/>
          <w:sz w:val="24"/>
          <w:szCs w:val="24"/>
        </w:rPr>
        <w:t>y of the</w:t>
      </w:r>
      <w:r w:rsidR="008D4A23">
        <w:rPr>
          <w:rFonts w:ascii="Times New Roman" w:hAnsi="Times New Roman"/>
          <w:sz w:val="24"/>
          <w:szCs w:val="24"/>
        </w:rPr>
        <w:t xml:space="preserve"> Kingdom of Norway. 2017</w:t>
      </w:r>
      <w:r w:rsidRPr="00A75E02">
        <w:rPr>
          <w:rFonts w:ascii="Times New Roman" w:hAnsi="Times New Roman"/>
          <w:sz w:val="24"/>
          <w:szCs w:val="24"/>
        </w:rPr>
        <w:t xml:space="preserve"> Nations Dialogue Award for active participation in </w:t>
      </w:r>
      <w:r w:rsidR="00E97478" w:rsidRPr="00A75E02">
        <w:rPr>
          <w:rFonts w:ascii="Times New Roman" w:hAnsi="Times New Roman"/>
          <w:sz w:val="24"/>
          <w:szCs w:val="24"/>
        </w:rPr>
        <w:t xml:space="preserve">the integration of national </w:t>
      </w:r>
      <w:r w:rsidRPr="00A75E02">
        <w:rPr>
          <w:rFonts w:ascii="Times New Roman" w:hAnsi="Times New Roman"/>
          <w:sz w:val="24"/>
          <w:szCs w:val="24"/>
        </w:rPr>
        <w:t>communities and elimination of xenophobia, race related and ethnic stereotypes</w:t>
      </w:r>
      <w:r w:rsidR="001601D9">
        <w:rPr>
          <w:rFonts w:ascii="Times New Roman" w:hAnsi="Times New Roman"/>
          <w:sz w:val="24"/>
          <w:szCs w:val="24"/>
        </w:rPr>
        <w:t xml:space="preserve"> </w:t>
      </w:r>
      <w:r w:rsidRPr="00A75E02">
        <w:rPr>
          <w:rFonts w:ascii="Times New Roman" w:hAnsi="Times New Roman"/>
          <w:sz w:val="24"/>
          <w:szCs w:val="24"/>
        </w:rPr>
        <w:t xml:space="preserve">was handed to the president of Vilnius Ukrainian community Natalija </w:t>
      </w:r>
      <w:proofErr w:type="spellStart"/>
      <w:r w:rsidRPr="00A75E02">
        <w:rPr>
          <w:rFonts w:ascii="Times New Roman" w:hAnsi="Times New Roman"/>
          <w:sz w:val="24"/>
          <w:szCs w:val="24"/>
        </w:rPr>
        <w:t>Šervytienė</w:t>
      </w:r>
      <w:proofErr w:type="spellEnd"/>
      <w:r w:rsidRPr="00A75E02">
        <w:rPr>
          <w:rFonts w:ascii="Times New Roman" w:hAnsi="Times New Roman"/>
          <w:sz w:val="24"/>
          <w:szCs w:val="24"/>
        </w:rPr>
        <w:t xml:space="preserve"> for active fostering of nations’ dialogue in Lithuania, Ukrainian national identity protection</w:t>
      </w:r>
      <w:r w:rsidR="00301922" w:rsidRPr="00A75E02">
        <w:rPr>
          <w:rFonts w:ascii="Times New Roman" w:hAnsi="Times New Roman"/>
          <w:sz w:val="24"/>
          <w:szCs w:val="24"/>
        </w:rPr>
        <w:t>,</w:t>
      </w:r>
      <w:r w:rsidRPr="00A75E02">
        <w:rPr>
          <w:rFonts w:ascii="Times New Roman" w:hAnsi="Times New Roman"/>
          <w:sz w:val="24"/>
          <w:szCs w:val="24"/>
        </w:rPr>
        <w:t xml:space="preserve"> assistance during the integration process of Ukrainian people</w:t>
      </w:r>
      <w:r w:rsidR="00301922" w:rsidRPr="00A75E02">
        <w:rPr>
          <w:rFonts w:ascii="Times New Roman" w:hAnsi="Times New Roman"/>
          <w:sz w:val="24"/>
          <w:szCs w:val="24"/>
        </w:rPr>
        <w:t xml:space="preserve"> and</w:t>
      </w:r>
      <w:r w:rsidRPr="00A75E02">
        <w:rPr>
          <w:rFonts w:ascii="Times New Roman" w:hAnsi="Times New Roman"/>
          <w:sz w:val="24"/>
          <w:szCs w:val="24"/>
        </w:rPr>
        <w:t xml:space="preserve"> fostering of tolerance. </w:t>
      </w:r>
    </w:p>
    <w:p w14:paraId="632E423F" w14:textId="77777777" w:rsidR="00F000F7" w:rsidRPr="00A75E02" w:rsidRDefault="00F000F7"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lastRenderedPageBreak/>
        <w:t>In the light of its general recommendation No. 7, the Committee recommends that the State party strengthen its efforts to combat hate crimes effectively. It should:</w:t>
      </w:r>
    </w:p>
    <w:p w14:paraId="00B05F7B" w14:textId="77777777" w:rsidR="00F000F7" w:rsidRPr="00A75E02" w:rsidRDefault="00F000F7"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(a)</w:t>
      </w:r>
      <w:r w:rsidR="001601D9">
        <w:rPr>
          <w:rFonts w:ascii="Times New Roman" w:hAnsi="Times New Roman"/>
          <w:i/>
          <w:sz w:val="24"/>
          <w:szCs w:val="24"/>
        </w:rPr>
        <w:t xml:space="preserve">   </w:t>
      </w:r>
      <w:r w:rsidRPr="00A75E02">
        <w:rPr>
          <w:rFonts w:ascii="Times New Roman" w:hAnsi="Times New Roman"/>
          <w:i/>
          <w:sz w:val="24"/>
          <w:szCs w:val="24"/>
        </w:rPr>
        <w:t xml:space="preserve">Effectively investigate all reported instances of hate crime, prosecute those responsible and, in the event of a conviction, punish perpetrators with appropriate penalties; it should also ensure that the principle of ultima ratio </w:t>
      </w:r>
      <w:proofErr w:type="gramStart"/>
      <w:r w:rsidRPr="00A75E02">
        <w:rPr>
          <w:rFonts w:ascii="Times New Roman" w:hAnsi="Times New Roman"/>
          <w:i/>
          <w:sz w:val="24"/>
          <w:szCs w:val="24"/>
        </w:rPr>
        <w:t>is not applied</w:t>
      </w:r>
      <w:proofErr w:type="gramEnd"/>
      <w:r w:rsidRPr="00A75E02">
        <w:rPr>
          <w:rFonts w:ascii="Times New Roman" w:hAnsi="Times New Roman"/>
          <w:i/>
          <w:sz w:val="24"/>
          <w:szCs w:val="24"/>
        </w:rPr>
        <w:t xml:space="preserve"> restrictively to hate crime cases;</w:t>
      </w:r>
    </w:p>
    <w:p w14:paraId="094B9714" w14:textId="77777777" w:rsidR="00D96BE3" w:rsidRPr="00A75E02" w:rsidRDefault="00D96BE3" w:rsidP="00D96BE3">
      <w:pPr>
        <w:spacing w:before="100" w:beforeAutospacing="1" w:after="100" w:afterAutospacing="1" w:line="240" w:lineRule="auto"/>
        <w:jc w:val="both"/>
        <w:rPr>
          <w:rFonts w:ascii="Times New Roman" w:hAnsi="Times New Roman" w:cs="Times New Roman"/>
          <w:sz w:val="24"/>
          <w:szCs w:val="24"/>
        </w:rPr>
      </w:pPr>
      <w:proofErr w:type="gramStart"/>
      <w:r w:rsidRPr="00A75E02">
        <w:rPr>
          <w:rFonts w:ascii="Times New Roman" w:hAnsi="Times New Roman"/>
          <w:sz w:val="24"/>
          <w:szCs w:val="24"/>
        </w:rPr>
        <w:t xml:space="preserve">30. The CC </w:t>
      </w:r>
      <w:r w:rsidR="00566868" w:rsidRPr="00A75E02">
        <w:rPr>
          <w:rFonts w:ascii="Times New Roman" w:hAnsi="Times New Roman"/>
          <w:sz w:val="24"/>
          <w:szCs w:val="24"/>
        </w:rPr>
        <w:t>establishes</w:t>
      </w:r>
      <w:r w:rsidRPr="00A75E02">
        <w:rPr>
          <w:rFonts w:ascii="Times New Roman" w:hAnsi="Times New Roman"/>
          <w:sz w:val="24"/>
          <w:szCs w:val="24"/>
        </w:rPr>
        <w:t xml:space="preserve"> criminal liability for criminal offences in relation to persons equality and freedom of conscience (Chapter XXV: Article 169 - discrimination on grounds of nationality, race, sex, origin, religion or belonging to other groups; Article 170 - incitement (to hatred) against any national, racial, ethnic, religious or other group of persons; Article 170</w:t>
      </w:r>
      <w:r w:rsidRPr="00A75E02">
        <w:rPr>
          <w:rFonts w:ascii="Times New Roman" w:hAnsi="Times New Roman"/>
          <w:sz w:val="24"/>
          <w:szCs w:val="24"/>
          <w:vertAlign w:val="superscript"/>
        </w:rPr>
        <w:t>1</w:t>
      </w:r>
      <w:r w:rsidRPr="00A75E02">
        <w:rPr>
          <w:rFonts w:ascii="Times New Roman" w:hAnsi="Times New Roman"/>
          <w:sz w:val="24"/>
          <w:szCs w:val="24"/>
        </w:rPr>
        <w:t xml:space="preserve"> of the CC - creation and activities of the groups or organisations aiming at discriminating a group of persons or inciting against it (including financing of such activities).</w:t>
      </w:r>
      <w:proofErr w:type="gramEnd"/>
      <w:r w:rsidR="001601D9">
        <w:rPr>
          <w:rFonts w:ascii="Times New Roman" w:hAnsi="Times New Roman"/>
          <w:sz w:val="24"/>
          <w:szCs w:val="24"/>
        </w:rPr>
        <w:t xml:space="preserve">  </w:t>
      </w:r>
    </w:p>
    <w:p w14:paraId="33EF7FE2" w14:textId="658024B7" w:rsidR="00D96BE3" w:rsidRPr="00A75E02" w:rsidRDefault="00D96BE3" w:rsidP="00742FA3">
      <w:pPr>
        <w:spacing w:before="100" w:beforeAutospacing="1" w:after="100" w:afterAutospacing="1" w:line="240" w:lineRule="auto"/>
        <w:jc w:val="both"/>
        <w:rPr>
          <w:rFonts w:ascii="Times New Roman" w:hAnsi="Times New Roman" w:cs="Times New Roman"/>
          <w:sz w:val="24"/>
          <w:szCs w:val="24"/>
        </w:rPr>
      </w:pPr>
      <w:proofErr w:type="gramStart"/>
      <w:r w:rsidRPr="00A75E02">
        <w:rPr>
          <w:rFonts w:ascii="Times New Roman" w:hAnsi="Times New Roman"/>
          <w:bCs/>
          <w:sz w:val="24"/>
          <w:szCs w:val="24"/>
        </w:rPr>
        <w:t xml:space="preserve">31. </w:t>
      </w:r>
      <w:r w:rsidR="005A7675" w:rsidRPr="00A75E02">
        <w:rPr>
          <w:rFonts w:ascii="Times New Roman" w:hAnsi="Times New Roman"/>
          <w:sz w:val="24"/>
          <w:szCs w:val="24"/>
        </w:rPr>
        <w:t>T</w:t>
      </w:r>
      <w:r w:rsidR="00C96645" w:rsidRPr="00A75E02">
        <w:rPr>
          <w:rFonts w:ascii="Times New Roman" w:hAnsi="Times New Roman"/>
          <w:sz w:val="24"/>
          <w:szCs w:val="24"/>
        </w:rPr>
        <w:t xml:space="preserve">he </w:t>
      </w:r>
      <w:r w:rsidRPr="00A75E02">
        <w:rPr>
          <w:rFonts w:ascii="Times New Roman" w:hAnsi="Times New Roman"/>
          <w:sz w:val="24"/>
          <w:szCs w:val="24"/>
        </w:rPr>
        <w:t>Law No XI-303 o</w:t>
      </w:r>
      <w:r w:rsidR="008B63E8" w:rsidRPr="00A75E02">
        <w:rPr>
          <w:rFonts w:ascii="Times New Roman" w:hAnsi="Times New Roman"/>
          <w:sz w:val="24"/>
          <w:szCs w:val="24"/>
        </w:rPr>
        <w:t>f 16 June 2009 amending the CC</w:t>
      </w:r>
      <w:r w:rsidRPr="00A75E02">
        <w:rPr>
          <w:rFonts w:ascii="Times New Roman" w:hAnsi="Times New Roman"/>
          <w:sz w:val="24"/>
          <w:szCs w:val="24"/>
        </w:rPr>
        <w:t xml:space="preserve"> </w:t>
      </w:r>
      <w:r w:rsidR="005A7675" w:rsidRPr="00A75E02">
        <w:rPr>
          <w:rFonts w:ascii="Times New Roman" w:hAnsi="Times New Roman"/>
          <w:sz w:val="24"/>
          <w:szCs w:val="24"/>
        </w:rPr>
        <w:t xml:space="preserve">recognized </w:t>
      </w:r>
      <w:r w:rsidRPr="00A75E02">
        <w:rPr>
          <w:rFonts w:ascii="Times New Roman" w:hAnsi="Times New Roman"/>
          <w:sz w:val="24"/>
          <w:szCs w:val="24"/>
        </w:rPr>
        <w:t>xenophobia, race and discrimination related grounds as an aggravating circumstance in the criminal liability of the perpetrator in case of commitment of any other criminal offence, i.e.</w:t>
      </w:r>
      <w:r w:rsidR="00572031">
        <w:rPr>
          <w:rFonts w:ascii="Times New Roman" w:hAnsi="Times New Roman"/>
          <w:sz w:val="24"/>
          <w:szCs w:val="24"/>
        </w:rPr>
        <w:t xml:space="preserve"> </w:t>
      </w:r>
      <w:r w:rsidRPr="00A75E02">
        <w:rPr>
          <w:rFonts w:ascii="Times New Roman" w:hAnsi="Times New Roman"/>
          <w:sz w:val="24"/>
          <w:szCs w:val="24"/>
        </w:rPr>
        <w:t xml:space="preserve">any other criminal offence is committed in order to express hatred to a group of persons </w:t>
      </w:r>
      <w:r w:rsidR="00C00703">
        <w:rPr>
          <w:rFonts w:ascii="Times New Roman" w:hAnsi="Times New Roman"/>
          <w:sz w:val="24"/>
          <w:szCs w:val="24"/>
        </w:rPr>
        <w:t>or a person belonging to a group</w:t>
      </w:r>
      <w:r w:rsidRPr="00A75E02">
        <w:rPr>
          <w:rFonts w:ascii="Times New Roman" w:hAnsi="Times New Roman"/>
          <w:sz w:val="24"/>
          <w:szCs w:val="24"/>
        </w:rPr>
        <w:t xml:space="preserve"> on the grounds of age, sex, sexual orientation, disability, race, nationality, language, descent, social status, religion, </w:t>
      </w:r>
      <w:r w:rsidR="00572031">
        <w:rPr>
          <w:rFonts w:ascii="Times New Roman" w:hAnsi="Times New Roman"/>
          <w:sz w:val="24"/>
          <w:szCs w:val="24"/>
        </w:rPr>
        <w:t>beliefs</w:t>
      </w:r>
      <w:r w:rsidRPr="00A75E02">
        <w:rPr>
          <w:rFonts w:ascii="Times New Roman" w:hAnsi="Times New Roman"/>
          <w:sz w:val="24"/>
          <w:szCs w:val="24"/>
        </w:rPr>
        <w:t xml:space="preserve"> or views.</w:t>
      </w:r>
      <w:proofErr w:type="gramEnd"/>
      <w:r w:rsidRPr="00A75E02">
        <w:rPr>
          <w:rFonts w:ascii="Times New Roman" w:hAnsi="Times New Roman"/>
          <w:sz w:val="24"/>
          <w:szCs w:val="24"/>
        </w:rPr>
        <w:t xml:space="preserve"> </w:t>
      </w:r>
      <w:proofErr w:type="gramStart"/>
      <w:r w:rsidRPr="00A75E02">
        <w:rPr>
          <w:rFonts w:ascii="Times New Roman" w:hAnsi="Times New Roman"/>
          <w:sz w:val="24"/>
          <w:szCs w:val="24"/>
        </w:rPr>
        <w:t xml:space="preserve">The same </w:t>
      </w:r>
      <w:r w:rsidR="00777A8E" w:rsidRPr="00A75E02">
        <w:rPr>
          <w:rFonts w:ascii="Times New Roman" w:hAnsi="Times New Roman"/>
          <w:sz w:val="24"/>
          <w:szCs w:val="24"/>
        </w:rPr>
        <w:t>L</w:t>
      </w:r>
      <w:r w:rsidRPr="00A75E02">
        <w:rPr>
          <w:rFonts w:ascii="Times New Roman" w:hAnsi="Times New Roman"/>
          <w:sz w:val="24"/>
          <w:szCs w:val="24"/>
        </w:rPr>
        <w:t xml:space="preserve">aw amended the CC by establishing and defining </w:t>
      </w:r>
      <w:r w:rsidR="00F40604">
        <w:rPr>
          <w:rFonts w:ascii="Times New Roman" w:hAnsi="Times New Roman"/>
          <w:sz w:val="24"/>
          <w:szCs w:val="24"/>
        </w:rPr>
        <w:t xml:space="preserve">the </w:t>
      </w:r>
      <w:r w:rsidR="001A7FED">
        <w:rPr>
          <w:rFonts w:ascii="Times New Roman" w:hAnsi="Times New Roman"/>
          <w:sz w:val="24"/>
          <w:szCs w:val="24"/>
        </w:rPr>
        <w:t xml:space="preserve">composition of </w:t>
      </w:r>
      <w:r w:rsidRPr="00A75E02">
        <w:rPr>
          <w:rFonts w:ascii="Times New Roman" w:hAnsi="Times New Roman"/>
          <w:sz w:val="24"/>
          <w:szCs w:val="24"/>
        </w:rPr>
        <w:t>very serious and serious crimes committed on the above-mentioned grounds, i.e. the amend</w:t>
      </w:r>
      <w:r w:rsidR="00E334D1">
        <w:rPr>
          <w:rFonts w:ascii="Times New Roman" w:hAnsi="Times New Roman"/>
          <w:sz w:val="24"/>
          <w:szCs w:val="24"/>
        </w:rPr>
        <w:t>ed CC</w:t>
      </w:r>
      <w:r w:rsidRPr="00A75E02">
        <w:rPr>
          <w:rFonts w:ascii="Times New Roman" w:hAnsi="Times New Roman"/>
          <w:sz w:val="24"/>
          <w:szCs w:val="24"/>
        </w:rPr>
        <w:t xml:space="preserve"> establish</w:t>
      </w:r>
      <w:r w:rsidR="00E334D1">
        <w:rPr>
          <w:rFonts w:ascii="Times New Roman" w:hAnsi="Times New Roman"/>
          <w:sz w:val="24"/>
          <w:szCs w:val="24"/>
        </w:rPr>
        <w:t>es</w:t>
      </w:r>
      <w:r w:rsidRPr="00A75E02">
        <w:rPr>
          <w:rFonts w:ascii="Times New Roman" w:hAnsi="Times New Roman"/>
          <w:sz w:val="24"/>
          <w:szCs w:val="24"/>
        </w:rPr>
        <w:t xml:space="preserve"> and maintain</w:t>
      </w:r>
      <w:r w:rsidR="00E334D1">
        <w:rPr>
          <w:rFonts w:ascii="Times New Roman" w:hAnsi="Times New Roman"/>
          <w:sz w:val="24"/>
          <w:szCs w:val="24"/>
        </w:rPr>
        <w:t>s</w:t>
      </w:r>
      <w:r w:rsidRPr="00A75E02">
        <w:rPr>
          <w:rFonts w:ascii="Times New Roman" w:hAnsi="Times New Roman"/>
          <w:sz w:val="24"/>
          <w:szCs w:val="24"/>
        </w:rPr>
        <w:t xml:space="preserve"> in force criminal liability for murder committed in order to express hatred to a group of persons or a person belonging t</w:t>
      </w:r>
      <w:r w:rsidR="00C00703">
        <w:rPr>
          <w:rFonts w:ascii="Times New Roman" w:hAnsi="Times New Roman"/>
          <w:sz w:val="24"/>
          <w:szCs w:val="24"/>
        </w:rPr>
        <w:t>o a group</w:t>
      </w:r>
      <w:r w:rsidRPr="00A75E02">
        <w:rPr>
          <w:rFonts w:ascii="Times New Roman" w:hAnsi="Times New Roman"/>
          <w:sz w:val="24"/>
          <w:szCs w:val="24"/>
        </w:rPr>
        <w:t xml:space="preserve"> on the grounds of age, sex, sexual orientation, disability, race, nationality, language, descent, social status, religion, </w:t>
      </w:r>
      <w:r w:rsidR="00235F17">
        <w:rPr>
          <w:rFonts w:ascii="Times New Roman" w:hAnsi="Times New Roman"/>
          <w:sz w:val="24"/>
          <w:szCs w:val="24"/>
        </w:rPr>
        <w:t>beliefs</w:t>
      </w:r>
      <w:r w:rsidRPr="00A75E02">
        <w:rPr>
          <w:rFonts w:ascii="Times New Roman" w:hAnsi="Times New Roman"/>
          <w:sz w:val="24"/>
          <w:szCs w:val="24"/>
        </w:rPr>
        <w:t xml:space="preserve"> or views (Article 129(2)(13) of the CC), criminal liability for severe health impairment made on the same grounds (Article 135(2)(13) of the CC) as well as criminal liability for non-severe health impairment made on the same grounds (Ar</w:t>
      </w:r>
      <w:r w:rsidR="00E739FF" w:rsidRPr="00A75E02">
        <w:rPr>
          <w:rFonts w:ascii="Times New Roman" w:hAnsi="Times New Roman"/>
          <w:sz w:val="24"/>
          <w:szCs w:val="24"/>
        </w:rPr>
        <w:t>ticle 138(2)(13) of the CC).</w:t>
      </w:r>
      <w:proofErr w:type="gramEnd"/>
      <w:r w:rsidR="001601D9">
        <w:rPr>
          <w:rFonts w:ascii="Times New Roman" w:hAnsi="Times New Roman"/>
          <w:sz w:val="24"/>
          <w:szCs w:val="24"/>
        </w:rPr>
        <w:t xml:space="preserve"> </w:t>
      </w:r>
      <w:bookmarkStart w:id="5" w:name="textas"/>
      <w:bookmarkEnd w:id="5"/>
      <w:r w:rsidRPr="00A75E02">
        <w:rPr>
          <w:rFonts w:ascii="Times New Roman" w:hAnsi="Times New Roman"/>
          <w:sz w:val="24"/>
          <w:szCs w:val="24"/>
        </w:rPr>
        <w:t>Hatred related crimes include criminal offences specified in Article 312(2) of the CC (desecration of a grave or another place of public respect for racist, nationalist or religious reasons).</w:t>
      </w:r>
    </w:p>
    <w:p w14:paraId="0609C720" w14:textId="77777777" w:rsidR="00F000F7" w:rsidRPr="00A75E02" w:rsidRDefault="00F000F7"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(b)</w:t>
      </w:r>
      <w:r w:rsidR="001601D9">
        <w:rPr>
          <w:rFonts w:ascii="Times New Roman" w:hAnsi="Times New Roman"/>
          <w:i/>
          <w:sz w:val="24"/>
          <w:szCs w:val="24"/>
        </w:rPr>
        <w:t xml:space="preserve">   </w:t>
      </w:r>
      <w:r w:rsidRPr="00A75E02">
        <w:rPr>
          <w:rFonts w:ascii="Times New Roman" w:hAnsi="Times New Roman"/>
          <w:i/>
          <w:sz w:val="24"/>
          <w:szCs w:val="24"/>
        </w:rPr>
        <w:t>Continue to provide adequate training to police officers, the judiciary and all law enforcement officers on how to address hate crime</w:t>
      </w:r>
      <w:proofErr w:type="gramStart"/>
      <w:r w:rsidRPr="00A75E02">
        <w:rPr>
          <w:rFonts w:ascii="Times New Roman" w:hAnsi="Times New Roman"/>
          <w:i/>
          <w:sz w:val="24"/>
          <w:szCs w:val="24"/>
        </w:rPr>
        <w:t>;</w:t>
      </w:r>
      <w:proofErr w:type="gramEnd"/>
    </w:p>
    <w:p w14:paraId="4028D36E" w14:textId="75BA65FA" w:rsidR="00D96BE3" w:rsidRPr="00A75E02" w:rsidRDefault="00E739FF" w:rsidP="00D96BE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32. T</w:t>
      </w:r>
      <w:r w:rsidR="00B62CFB" w:rsidRPr="00A75E02">
        <w:rPr>
          <w:rFonts w:ascii="Times New Roman" w:hAnsi="Times New Roman"/>
          <w:sz w:val="24"/>
          <w:szCs w:val="24"/>
        </w:rPr>
        <w:t>he Inter</w:t>
      </w:r>
      <w:r w:rsidR="00DB1D76">
        <w:rPr>
          <w:rFonts w:ascii="Times New Roman" w:hAnsi="Times New Roman"/>
          <w:sz w:val="24"/>
          <w:szCs w:val="24"/>
        </w:rPr>
        <w:t>-</w:t>
      </w:r>
      <w:r w:rsidR="00B62CFB" w:rsidRPr="00A75E02">
        <w:rPr>
          <w:rFonts w:ascii="Times New Roman" w:hAnsi="Times New Roman"/>
          <w:sz w:val="24"/>
          <w:szCs w:val="24"/>
        </w:rPr>
        <w:t xml:space="preserve">institutional Action </w:t>
      </w:r>
      <w:r w:rsidRPr="00A75E02">
        <w:rPr>
          <w:rFonts w:ascii="Times New Roman" w:hAnsi="Times New Roman"/>
          <w:sz w:val="24"/>
          <w:szCs w:val="24"/>
        </w:rPr>
        <w:t>Plan for</w:t>
      </w:r>
      <w:r w:rsidR="006D7387">
        <w:rPr>
          <w:rFonts w:ascii="Times New Roman" w:hAnsi="Times New Roman"/>
          <w:sz w:val="24"/>
          <w:szCs w:val="24"/>
        </w:rPr>
        <w:t xml:space="preserve"> </w:t>
      </w:r>
      <w:r w:rsidRPr="00A75E02">
        <w:rPr>
          <w:rFonts w:ascii="Times New Roman" w:hAnsi="Times New Roman"/>
          <w:sz w:val="24"/>
          <w:szCs w:val="24"/>
        </w:rPr>
        <w:t>Promotion of Non-</w:t>
      </w:r>
      <w:r w:rsidR="00B62CFB" w:rsidRPr="00A75E02">
        <w:rPr>
          <w:rFonts w:ascii="Times New Roman" w:hAnsi="Times New Roman"/>
          <w:sz w:val="24"/>
          <w:szCs w:val="24"/>
        </w:rPr>
        <w:t xml:space="preserve">Discrimination </w:t>
      </w:r>
      <w:r w:rsidR="00BA5AB1">
        <w:rPr>
          <w:rFonts w:ascii="Times New Roman" w:hAnsi="Times New Roman"/>
          <w:sz w:val="24"/>
          <w:szCs w:val="24"/>
        </w:rPr>
        <w:t xml:space="preserve">for </w:t>
      </w:r>
      <w:r w:rsidR="00BA5AB1" w:rsidRPr="00A75E02">
        <w:rPr>
          <w:rFonts w:ascii="Times New Roman" w:hAnsi="Times New Roman"/>
          <w:sz w:val="24"/>
          <w:szCs w:val="24"/>
        </w:rPr>
        <w:t>2011-2019</w:t>
      </w:r>
      <w:r w:rsidR="00BA5AB1">
        <w:rPr>
          <w:rFonts w:ascii="Times New Roman" w:hAnsi="Times New Roman"/>
          <w:sz w:val="24"/>
          <w:szCs w:val="24"/>
        </w:rPr>
        <w:t xml:space="preserve"> </w:t>
      </w:r>
      <w:r w:rsidR="00B62CFB" w:rsidRPr="00A75E02">
        <w:rPr>
          <w:rFonts w:ascii="Times New Roman" w:hAnsi="Times New Roman"/>
          <w:sz w:val="24"/>
          <w:szCs w:val="24"/>
        </w:rPr>
        <w:t>coordinated by the Ministry of Social Security and Labour includes a continuous</w:t>
      </w:r>
      <w:r w:rsidR="001601D9">
        <w:rPr>
          <w:rFonts w:ascii="Times New Roman" w:hAnsi="Times New Roman"/>
          <w:sz w:val="24"/>
          <w:szCs w:val="24"/>
        </w:rPr>
        <w:t xml:space="preserve"> </w:t>
      </w:r>
      <w:r w:rsidR="00B62CFB" w:rsidRPr="00A75E02">
        <w:rPr>
          <w:rFonts w:ascii="Times New Roman" w:hAnsi="Times New Roman"/>
          <w:sz w:val="24"/>
          <w:szCs w:val="24"/>
        </w:rPr>
        <w:t>measure, i.e. training for law enforcement officials in the field of hat</w:t>
      </w:r>
      <w:r w:rsidR="00BA5AB1">
        <w:rPr>
          <w:rFonts w:ascii="Times New Roman" w:hAnsi="Times New Roman"/>
          <w:sz w:val="24"/>
          <w:szCs w:val="24"/>
        </w:rPr>
        <w:t>red related crime investigation</w:t>
      </w:r>
      <w:r w:rsidR="00B62CFB" w:rsidRPr="00A75E02">
        <w:rPr>
          <w:rFonts w:ascii="Times New Roman" w:hAnsi="Times New Roman"/>
          <w:sz w:val="24"/>
          <w:szCs w:val="24"/>
        </w:rPr>
        <w:t>.</w:t>
      </w:r>
      <w:r w:rsidR="001601D9">
        <w:rPr>
          <w:rFonts w:ascii="Times New Roman" w:hAnsi="Times New Roman"/>
          <w:sz w:val="24"/>
          <w:szCs w:val="24"/>
        </w:rPr>
        <w:t xml:space="preserve"> </w:t>
      </w:r>
      <w:proofErr w:type="gramStart"/>
      <w:r w:rsidR="00B62CFB" w:rsidRPr="00A75E02">
        <w:rPr>
          <w:rFonts w:ascii="Times New Roman" w:hAnsi="Times New Roman"/>
          <w:sz w:val="24"/>
          <w:szCs w:val="24"/>
        </w:rPr>
        <w:t xml:space="preserve">This measure </w:t>
      </w:r>
      <w:r w:rsidR="006D6EDC" w:rsidRPr="00A75E02">
        <w:rPr>
          <w:rFonts w:ascii="Times New Roman" w:hAnsi="Times New Roman"/>
          <w:sz w:val="24"/>
          <w:szCs w:val="24"/>
        </w:rPr>
        <w:t>comprises of</w:t>
      </w:r>
      <w:r w:rsidR="00B62CFB" w:rsidRPr="00A75E02">
        <w:rPr>
          <w:rFonts w:ascii="Times New Roman" w:hAnsi="Times New Roman"/>
          <w:sz w:val="24"/>
          <w:szCs w:val="24"/>
        </w:rPr>
        <w:t xml:space="preserve"> the following steps: with a </w:t>
      </w:r>
      <w:r w:rsidR="00985F11">
        <w:rPr>
          <w:rFonts w:ascii="Times New Roman" w:hAnsi="Times New Roman"/>
          <w:sz w:val="24"/>
          <w:szCs w:val="24"/>
        </w:rPr>
        <w:t>view to combating hate</w:t>
      </w:r>
      <w:r w:rsidR="00B62CFB" w:rsidRPr="00A75E02">
        <w:rPr>
          <w:rFonts w:ascii="Times New Roman" w:hAnsi="Times New Roman"/>
          <w:sz w:val="24"/>
          <w:szCs w:val="24"/>
        </w:rPr>
        <w:t xml:space="preserve"> crime</w:t>
      </w:r>
      <w:r w:rsidR="00985F11">
        <w:rPr>
          <w:rFonts w:ascii="Times New Roman" w:hAnsi="Times New Roman"/>
          <w:sz w:val="24"/>
          <w:szCs w:val="24"/>
        </w:rPr>
        <w:t>s</w:t>
      </w:r>
      <w:r w:rsidR="00B62CFB" w:rsidRPr="00A75E02">
        <w:rPr>
          <w:rFonts w:ascii="Times New Roman" w:hAnsi="Times New Roman"/>
          <w:sz w:val="24"/>
          <w:szCs w:val="24"/>
        </w:rPr>
        <w:t>, improvement of competences of law enforcement official</w:t>
      </w:r>
      <w:r w:rsidR="00985F11">
        <w:rPr>
          <w:rFonts w:ascii="Times New Roman" w:hAnsi="Times New Roman"/>
          <w:sz w:val="24"/>
          <w:szCs w:val="24"/>
        </w:rPr>
        <w:t>s in the field of hate</w:t>
      </w:r>
      <w:r w:rsidR="00B62CFB" w:rsidRPr="00A75E02">
        <w:rPr>
          <w:rFonts w:ascii="Times New Roman" w:hAnsi="Times New Roman"/>
          <w:sz w:val="24"/>
          <w:szCs w:val="24"/>
        </w:rPr>
        <w:t xml:space="preserve"> crime</w:t>
      </w:r>
      <w:r w:rsidR="00985F11">
        <w:rPr>
          <w:rFonts w:ascii="Times New Roman" w:hAnsi="Times New Roman"/>
          <w:sz w:val="24"/>
          <w:szCs w:val="24"/>
        </w:rPr>
        <w:t>s</w:t>
      </w:r>
      <w:r w:rsidR="00B62CFB" w:rsidRPr="00A75E02">
        <w:rPr>
          <w:rFonts w:ascii="Times New Roman" w:hAnsi="Times New Roman"/>
          <w:sz w:val="24"/>
          <w:szCs w:val="24"/>
        </w:rPr>
        <w:t xml:space="preserve"> investigation is initiated taking into account </w:t>
      </w:r>
      <w:r w:rsidR="008A76F8" w:rsidRPr="00A75E02">
        <w:rPr>
          <w:rFonts w:ascii="Times New Roman" w:hAnsi="Times New Roman"/>
          <w:sz w:val="24"/>
          <w:szCs w:val="24"/>
        </w:rPr>
        <w:t xml:space="preserve">the </w:t>
      </w:r>
      <w:r w:rsidR="00B62CFB" w:rsidRPr="00A75E02">
        <w:rPr>
          <w:rFonts w:ascii="Times New Roman" w:hAnsi="Times New Roman"/>
          <w:sz w:val="24"/>
          <w:szCs w:val="24"/>
        </w:rPr>
        <w:t xml:space="preserve">Committee’s concluding observations on Lithuania’s sixth, seventh and eighth periodic reports under the International Convention on the Elimination of all </w:t>
      </w:r>
      <w:r w:rsidR="008A76F8" w:rsidRPr="00A75E02">
        <w:rPr>
          <w:rFonts w:ascii="Times New Roman" w:hAnsi="Times New Roman"/>
          <w:sz w:val="24"/>
          <w:szCs w:val="24"/>
        </w:rPr>
        <w:t>F</w:t>
      </w:r>
      <w:r w:rsidR="00B62CFB" w:rsidRPr="00A75E02">
        <w:rPr>
          <w:rFonts w:ascii="Times New Roman" w:hAnsi="Times New Roman"/>
          <w:sz w:val="24"/>
          <w:szCs w:val="24"/>
        </w:rPr>
        <w:t>orms of Racial Discrimination; training will be held in cooperation with the Office for Democratic Institutions and Human Rights (ODIHR) of</w:t>
      </w:r>
      <w:r w:rsidR="001601D9">
        <w:rPr>
          <w:rFonts w:ascii="Times New Roman" w:hAnsi="Times New Roman"/>
          <w:sz w:val="24"/>
          <w:szCs w:val="24"/>
        </w:rPr>
        <w:t xml:space="preserve"> </w:t>
      </w:r>
      <w:r w:rsidR="00B62CFB" w:rsidRPr="00A75E02">
        <w:rPr>
          <w:rFonts w:ascii="Times New Roman" w:hAnsi="Times New Roman"/>
          <w:sz w:val="24"/>
          <w:szCs w:val="24"/>
        </w:rPr>
        <w:t>the Organisation for Security and Cooperation in Europe (OSCE).</w:t>
      </w:r>
      <w:proofErr w:type="gramEnd"/>
      <w:r w:rsidR="00B62CFB" w:rsidRPr="00A75E02">
        <w:rPr>
          <w:rFonts w:ascii="Times New Roman" w:hAnsi="Times New Roman"/>
          <w:sz w:val="24"/>
          <w:szCs w:val="24"/>
        </w:rPr>
        <w:t xml:space="preserve"> The </w:t>
      </w:r>
      <w:proofErr w:type="gramStart"/>
      <w:r w:rsidR="00B62CFB" w:rsidRPr="00A75E02">
        <w:rPr>
          <w:rFonts w:ascii="Times New Roman" w:hAnsi="Times New Roman"/>
          <w:sz w:val="24"/>
          <w:szCs w:val="24"/>
        </w:rPr>
        <w:t>implementation of the measure is carried out by the Ministry of Foreign Affairs</w:t>
      </w:r>
      <w:proofErr w:type="gramEnd"/>
      <w:r w:rsidR="00B62CFB" w:rsidRPr="00A75E02">
        <w:rPr>
          <w:rFonts w:ascii="Times New Roman" w:hAnsi="Times New Roman"/>
          <w:sz w:val="24"/>
          <w:szCs w:val="24"/>
        </w:rPr>
        <w:t>.</w:t>
      </w:r>
    </w:p>
    <w:p w14:paraId="7943F903" w14:textId="62BFF295" w:rsidR="00D96BE3" w:rsidRPr="00A75E02" w:rsidRDefault="00B62CFB" w:rsidP="00D96BE3">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33. </w:t>
      </w:r>
      <w:r w:rsidR="00985F11" w:rsidRPr="00A75E02">
        <w:rPr>
          <w:rFonts w:ascii="Times New Roman" w:hAnsi="Times New Roman"/>
          <w:sz w:val="24"/>
          <w:szCs w:val="24"/>
        </w:rPr>
        <w:t>The following training</w:t>
      </w:r>
      <w:r w:rsidR="00985F11">
        <w:rPr>
          <w:rFonts w:ascii="Times New Roman" w:hAnsi="Times New Roman"/>
          <w:sz w:val="24"/>
          <w:szCs w:val="24"/>
        </w:rPr>
        <w:t>s</w:t>
      </w:r>
      <w:r w:rsidR="00985F11" w:rsidRPr="00A75E02">
        <w:rPr>
          <w:rFonts w:ascii="Times New Roman" w:hAnsi="Times New Roman"/>
          <w:sz w:val="24"/>
          <w:szCs w:val="24"/>
        </w:rPr>
        <w:t xml:space="preserve"> in the field of </w:t>
      </w:r>
      <w:r w:rsidR="00985F11">
        <w:rPr>
          <w:rFonts w:ascii="Times New Roman" w:hAnsi="Times New Roman"/>
          <w:sz w:val="24"/>
          <w:szCs w:val="24"/>
        </w:rPr>
        <w:t>combating hate</w:t>
      </w:r>
      <w:r w:rsidR="00985F11" w:rsidRPr="00A75E02">
        <w:rPr>
          <w:rFonts w:ascii="Times New Roman" w:hAnsi="Times New Roman"/>
          <w:sz w:val="24"/>
          <w:szCs w:val="24"/>
        </w:rPr>
        <w:t xml:space="preserve"> crimes </w:t>
      </w:r>
      <w:proofErr w:type="gramStart"/>
      <w:r w:rsidR="00985F11" w:rsidRPr="00A75E02">
        <w:rPr>
          <w:rFonts w:ascii="Times New Roman" w:hAnsi="Times New Roman"/>
          <w:sz w:val="24"/>
          <w:szCs w:val="24"/>
        </w:rPr>
        <w:t>were held</w:t>
      </w:r>
      <w:proofErr w:type="gramEnd"/>
      <w:r w:rsidR="00985F11" w:rsidRPr="00A75E02">
        <w:rPr>
          <w:rFonts w:ascii="Times New Roman" w:hAnsi="Times New Roman"/>
          <w:sz w:val="24"/>
          <w:szCs w:val="24"/>
        </w:rPr>
        <w:t xml:space="preserve">: in 2015 </w:t>
      </w:r>
      <w:r w:rsidR="00985F11">
        <w:rPr>
          <w:rFonts w:ascii="Times New Roman" w:hAnsi="Times New Roman"/>
          <w:sz w:val="24"/>
          <w:szCs w:val="24"/>
        </w:rPr>
        <w:t>t</w:t>
      </w:r>
      <w:r w:rsidR="00985F11" w:rsidRPr="00A75E02">
        <w:rPr>
          <w:rFonts w:ascii="Times New Roman" w:hAnsi="Times New Roman"/>
          <w:sz w:val="24"/>
          <w:szCs w:val="24"/>
        </w:rPr>
        <w:t>raining</w:t>
      </w:r>
      <w:r w:rsidR="00985F11">
        <w:rPr>
          <w:rFonts w:ascii="Times New Roman" w:hAnsi="Times New Roman"/>
          <w:sz w:val="24"/>
          <w:szCs w:val="24"/>
        </w:rPr>
        <w:t>s</w:t>
      </w:r>
      <w:r w:rsidR="00985F11" w:rsidRPr="00A75E02">
        <w:rPr>
          <w:rFonts w:ascii="Times New Roman" w:hAnsi="Times New Roman"/>
          <w:sz w:val="24"/>
          <w:szCs w:val="24"/>
        </w:rPr>
        <w:t xml:space="preserve"> </w:t>
      </w:r>
      <w:r w:rsidR="00985F11">
        <w:rPr>
          <w:rFonts w:ascii="Times New Roman" w:hAnsi="Times New Roman"/>
          <w:sz w:val="24"/>
          <w:szCs w:val="24"/>
        </w:rPr>
        <w:t>for Law Enforcement trainers and managing officers on combating</w:t>
      </w:r>
      <w:r w:rsidR="00985F11" w:rsidRPr="00A75E02">
        <w:rPr>
          <w:rFonts w:ascii="Times New Roman" w:hAnsi="Times New Roman"/>
          <w:sz w:val="24"/>
          <w:szCs w:val="24"/>
        </w:rPr>
        <w:t xml:space="preserve"> Hate Crimes </w:t>
      </w:r>
      <w:r w:rsidR="00985F11">
        <w:rPr>
          <w:rFonts w:ascii="Times New Roman" w:hAnsi="Times New Roman"/>
          <w:sz w:val="24"/>
          <w:szCs w:val="24"/>
        </w:rPr>
        <w:t>(TAHCLE)</w:t>
      </w:r>
      <w:r w:rsidR="003B0936" w:rsidRPr="003B0936">
        <w:t xml:space="preserve"> </w:t>
      </w:r>
      <w:r w:rsidR="003B0936" w:rsidRPr="003B0936">
        <w:rPr>
          <w:rFonts w:ascii="Times New Roman" w:hAnsi="Times New Roman"/>
          <w:sz w:val="24"/>
          <w:szCs w:val="24"/>
        </w:rPr>
        <w:t>were organised</w:t>
      </w:r>
      <w:r w:rsidR="00985F11">
        <w:rPr>
          <w:rFonts w:ascii="Times New Roman" w:hAnsi="Times New Roman"/>
          <w:sz w:val="24"/>
          <w:szCs w:val="24"/>
        </w:rPr>
        <w:t>.</w:t>
      </w:r>
      <w:r w:rsidRPr="00A75E02">
        <w:rPr>
          <w:rFonts w:ascii="Times New Roman" w:hAnsi="Times New Roman"/>
          <w:sz w:val="24"/>
          <w:szCs w:val="24"/>
        </w:rPr>
        <w:t xml:space="preserve"> In </w:t>
      </w:r>
      <w:r w:rsidR="003B0936" w:rsidRPr="00A75E02">
        <w:rPr>
          <w:rFonts w:ascii="Times New Roman" w:hAnsi="Times New Roman"/>
          <w:sz w:val="24"/>
          <w:szCs w:val="24"/>
        </w:rPr>
        <w:t>2017,</w:t>
      </w:r>
      <w:r w:rsidRPr="00A75E02">
        <w:rPr>
          <w:rFonts w:ascii="Times New Roman" w:hAnsi="Times New Roman"/>
          <w:sz w:val="24"/>
          <w:szCs w:val="24"/>
        </w:rPr>
        <w:t xml:space="preserve"> two events </w:t>
      </w:r>
      <w:r w:rsidR="002017FE">
        <w:rPr>
          <w:rFonts w:ascii="Times New Roman" w:hAnsi="Times New Roman"/>
          <w:sz w:val="24"/>
          <w:szCs w:val="24"/>
        </w:rPr>
        <w:t>were organized</w:t>
      </w:r>
      <w:r w:rsidRPr="00A75E02">
        <w:rPr>
          <w:rFonts w:ascii="Times New Roman" w:hAnsi="Times New Roman"/>
          <w:sz w:val="24"/>
          <w:szCs w:val="24"/>
        </w:rPr>
        <w:t xml:space="preserve"> on the topic ‘Actions of police officers in cases of expressed hatred’</w:t>
      </w:r>
      <w:r w:rsidR="000075A0">
        <w:rPr>
          <w:rFonts w:ascii="Times New Roman" w:hAnsi="Times New Roman"/>
          <w:sz w:val="24"/>
          <w:szCs w:val="24"/>
        </w:rPr>
        <w:t>, where</w:t>
      </w:r>
      <w:r w:rsidR="000068BA">
        <w:rPr>
          <w:rFonts w:ascii="Times New Roman" w:hAnsi="Times New Roman"/>
          <w:sz w:val="24"/>
          <w:szCs w:val="24"/>
        </w:rPr>
        <w:t xml:space="preserve"> </w:t>
      </w:r>
      <w:r w:rsidRPr="00A75E02">
        <w:rPr>
          <w:rFonts w:ascii="Times New Roman" w:hAnsi="Times New Roman"/>
          <w:sz w:val="24"/>
          <w:szCs w:val="24"/>
        </w:rPr>
        <w:t>24 officers</w:t>
      </w:r>
      <w:r w:rsidR="000068BA">
        <w:rPr>
          <w:rFonts w:ascii="Times New Roman" w:hAnsi="Times New Roman"/>
          <w:sz w:val="24"/>
          <w:szCs w:val="24"/>
        </w:rPr>
        <w:t xml:space="preserve"> participate</w:t>
      </w:r>
      <w:r w:rsidR="000075A0">
        <w:rPr>
          <w:rFonts w:ascii="Times New Roman" w:hAnsi="Times New Roman"/>
          <w:sz w:val="24"/>
          <w:szCs w:val="24"/>
        </w:rPr>
        <w:t>d</w:t>
      </w:r>
      <w:r w:rsidRPr="00A75E02">
        <w:rPr>
          <w:rFonts w:ascii="Times New Roman" w:hAnsi="Times New Roman"/>
          <w:sz w:val="24"/>
          <w:szCs w:val="24"/>
        </w:rPr>
        <w:t>.</w:t>
      </w:r>
    </w:p>
    <w:p w14:paraId="3FB4ECB7" w14:textId="7C97619E" w:rsidR="00D96BE3" w:rsidRDefault="00B62CFB" w:rsidP="00D96BE3">
      <w:pPr>
        <w:spacing w:before="100" w:beforeAutospacing="1" w:after="100" w:afterAutospacing="1" w:line="240" w:lineRule="auto"/>
        <w:jc w:val="both"/>
        <w:rPr>
          <w:rFonts w:ascii="Times New Roman" w:hAnsi="Times New Roman"/>
          <w:sz w:val="24"/>
          <w:szCs w:val="24"/>
        </w:rPr>
      </w:pPr>
      <w:r w:rsidRPr="00A75E02">
        <w:rPr>
          <w:rFonts w:ascii="Times New Roman" w:hAnsi="Times New Roman"/>
          <w:sz w:val="24"/>
          <w:szCs w:val="24"/>
        </w:rPr>
        <w:lastRenderedPageBreak/>
        <w:t xml:space="preserve">34. With a view to upgrading skills necessary </w:t>
      </w:r>
      <w:proofErr w:type="gramStart"/>
      <w:r w:rsidRPr="00A75E02">
        <w:rPr>
          <w:rFonts w:ascii="Times New Roman" w:hAnsi="Times New Roman"/>
          <w:sz w:val="24"/>
          <w:szCs w:val="24"/>
        </w:rPr>
        <w:t>for assessing discrimination related crimes and to provide information on relevant national and international legislation and human rights, training on the issue of racial and other forms of discrimination</w:t>
      </w:r>
      <w:proofErr w:type="gramEnd"/>
      <w:r w:rsidRPr="00A75E02">
        <w:rPr>
          <w:rFonts w:ascii="Times New Roman" w:hAnsi="Times New Roman"/>
          <w:sz w:val="24"/>
          <w:szCs w:val="24"/>
        </w:rPr>
        <w:t xml:space="preserve"> are </w:t>
      </w:r>
      <w:r w:rsidR="009E1432" w:rsidRPr="00A75E02">
        <w:rPr>
          <w:rFonts w:ascii="Times New Roman" w:hAnsi="Times New Roman"/>
          <w:sz w:val="24"/>
          <w:szCs w:val="24"/>
        </w:rPr>
        <w:t>regularly</w:t>
      </w:r>
      <w:r w:rsidRPr="00A75E02">
        <w:rPr>
          <w:rFonts w:ascii="Times New Roman" w:hAnsi="Times New Roman"/>
          <w:sz w:val="24"/>
          <w:szCs w:val="24"/>
        </w:rPr>
        <w:t xml:space="preserve"> held in the Prosecutor’s Office. During the period of </w:t>
      </w:r>
      <w:proofErr w:type="gramStart"/>
      <w:r w:rsidRPr="00A75E02">
        <w:rPr>
          <w:rFonts w:ascii="Times New Roman" w:hAnsi="Times New Roman"/>
          <w:sz w:val="24"/>
          <w:szCs w:val="24"/>
        </w:rPr>
        <w:t>2014-2017</w:t>
      </w:r>
      <w:proofErr w:type="gramEnd"/>
      <w:r w:rsidRPr="00A75E02">
        <w:rPr>
          <w:rFonts w:ascii="Times New Roman" w:hAnsi="Times New Roman"/>
          <w:sz w:val="24"/>
          <w:szCs w:val="24"/>
        </w:rPr>
        <w:t xml:space="preserve"> prosecutors participated in the </w:t>
      </w:r>
      <w:r w:rsidR="00F65843">
        <w:rPr>
          <w:rFonts w:ascii="Times New Roman" w:hAnsi="Times New Roman"/>
          <w:sz w:val="24"/>
          <w:szCs w:val="24"/>
        </w:rPr>
        <w:t>various</w:t>
      </w:r>
      <w:r w:rsidR="0097226A">
        <w:rPr>
          <w:rFonts w:ascii="Times New Roman" w:hAnsi="Times New Roman"/>
          <w:sz w:val="24"/>
          <w:szCs w:val="24"/>
        </w:rPr>
        <w:t xml:space="preserve"> </w:t>
      </w:r>
      <w:r w:rsidRPr="00A75E02">
        <w:rPr>
          <w:rFonts w:ascii="Times New Roman" w:hAnsi="Times New Roman"/>
          <w:sz w:val="24"/>
          <w:szCs w:val="24"/>
        </w:rPr>
        <w:t xml:space="preserve">training </w:t>
      </w:r>
      <w:r w:rsidR="009E2917" w:rsidRPr="00A75E02">
        <w:rPr>
          <w:rFonts w:ascii="Times New Roman" w:hAnsi="Times New Roman"/>
          <w:sz w:val="24"/>
          <w:szCs w:val="24"/>
        </w:rPr>
        <w:t xml:space="preserve">courses </w:t>
      </w:r>
      <w:r w:rsidRPr="00A75E02">
        <w:rPr>
          <w:rFonts w:ascii="Times New Roman" w:hAnsi="Times New Roman"/>
          <w:sz w:val="24"/>
          <w:szCs w:val="24"/>
        </w:rPr>
        <w:t>on hatred and discrimination related crime</w:t>
      </w:r>
      <w:r w:rsidR="00F65843">
        <w:rPr>
          <w:rFonts w:ascii="Times New Roman" w:hAnsi="Times New Roman"/>
          <w:sz w:val="24"/>
          <w:szCs w:val="24"/>
        </w:rPr>
        <w:t>.</w:t>
      </w:r>
      <w:r w:rsidRPr="00A75E02">
        <w:rPr>
          <w:rFonts w:ascii="Times New Roman" w:hAnsi="Times New Roman"/>
          <w:sz w:val="24"/>
          <w:szCs w:val="24"/>
        </w:rPr>
        <w:t xml:space="preserve"> </w:t>
      </w:r>
      <w:r w:rsidR="00F65843">
        <w:rPr>
          <w:rFonts w:ascii="Times New Roman" w:hAnsi="Times New Roman"/>
          <w:sz w:val="24"/>
          <w:szCs w:val="24"/>
        </w:rPr>
        <w:t xml:space="preserve">Statistics </w:t>
      </w:r>
      <w:proofErr w:type="gramStart"/>
      <w:r w:rsidR="00F65843">
        <w:rPr>
          <w:rFonts w:ascii="Times New Roman" w:hAnsi="Times New Roman"/>
          <w:sz w:val="24"/>
          <w:szCs w:val="24"/>
        </w:rPr>
        <w:t>is provided</w:t>
      </w:r>
      <w:proofErr w:type="gramEnd"/>
      <w:r w:rsidR="00F65843">
        <w:rPr>
          <w:rFonts w:ascii="Times New Roman" w:hAnsi="Times New Roman"/>
          <w:sz w:val="24"/>
          <w:szCs w:val="24"/>
        </w:rPr>
        <w:t xml:space="preserve"> below:</w:t>
      </w:r>
    </w:p>
    <w:tbl>
      <w:tblPr>
        <w:tblStyle w:val="TableGrid"/>
        <w:tblW w:w="0" w:type="auto"/>
        <w:tblLook w:val="04A0" w:firstRow="1" w:lastRow="0" w:firstColumn="1" w:lastColumn="0" w:noHBand="0" w:noVBand="1"/>
      </w:tblPr>
      <w:tblGrid>
        <w:gridCol w:w="2407"/>
        <w:gridCol w:w="2407"/>
        <w:gridCol w:w="2407"/>
        <w:gridCol w:w="2407"/>
      </w:tblGrid>
      <w:tr w:rsidR="00F65843" w14:paraId="28CB4970" w14:textId="77777777" w:rsidTr="0038541E">
        <w:tc>
          <w:tcPr>
            <w:tcW w:w="2407" w:type="dxa"/>
          </w:tcPr>
          <w:p w14:paraId="7C88120D"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Year</w:t>
            </w:r>
          </w:p>
        </w:tc>
        <w:tc>
          <w:tcPr>
            <w:tcW w:w="2407" w:type="dxa"/>
          </w:tcPr>
          <w:p w14:paraId="0B297549"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Topics</w:t>
            </w:r>
          </w:p>
        </w:tc>
        <w:tc>
          <w:tcPr>
            <w:tcW w:w="2407" w:type="dxa"/>
          </w:tcPr>
          <w:p w14:paraId="50852F09"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Number of trainings/seminars</w:t>
            </w:r>
          </w:p>
        </w:tc>
        <w:tc>
          <w:tcPr>
            <w:tcW w:w="2407" w:type="dxa"/>
          </w:tcPr>
          <w:p w14:paraId="206A4AFB"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Total number of participants</w:t>
            </w:r>
          </w:p>
        </w:tc>
      </w:tr>
      <w:tr w:rsidR="00F65843" w14:paraId="2BFB6B19" w14:textId="77777777" w:rsidTr="0038541E">
        <w:tc>
          <w:tcPr>
            <w:tcW w:w="2407" w:type="dxa"/>
          </w:tcPr>
          <w:p w14:paraId="19CD27C1"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2407" w:type="dxa"/>
          </w:tcPr>
          <w:p w14:paraId="6E7AD753"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Hatred (Online); Discrimination; Gender Equality; Human Rights; Case-law of the ECHR</w:t>
            </w:r>
          </w:p>
        </w:tc>
        <w:tc>
          <w:tcPr>
            <w:tcW w:w="2407" w:type="dxa"/>
          </w:tcPr>
          <w:p w14:paraId="79A37E8A"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07" w:type="dxa"/>
          </w:tcPr>
          <w:p w14:paraId="103A69D9"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F65843" w14:paraId="31C971ED" w14:textId="77777777" w:rsidTr="0038541E">
        <w:tc>
          <w:tcPr>
            <w:tcW w:w="2407" w:type="dxa"/>
          </w:tcPr>
          <w:p w14:paraId="67485993"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2407" w:type="dxa"/>
          </w:tcPr>
          <w:p w14:paraId="5DA13EC8"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sidRPr="00B80D59">
              <w:rPr>
                <w:rFonts w:ascii="Times New Roman" w:hAnsi="Times New Roman" w:cs="Times New Roman"/>
                <w:sz w:val="24"/>
                <w:szCs w:val="24"/>
              </w:rPr>
              <w:t>Assistance to Witnesses and Victims of Crime</w:t>
            </w:r>
            <w:r>
              <w:rPr>
                <w:rFonts w:ascii="Times New Roman" w:hAnsi="Times New Roman" w:cs="Times New Roman"/>
                <w:sz w:val="24"/>
                <w:szCs w:val="24"/>
              </w:rPr>
              <w:t xml:space="preserve">; </w:t>
            </w:r>
            <w:r w:rsidRPr="00A75E02">
              <w:rPr>
                <w:rFonts w:ascii="Times New Roman" w:hAnsi="Times New Roman"/>
                <w:sz w:val="24"/>
                <w:szCs w:val="24"/>
              </w:rPr>
              <w:t>Expression of Opinion in the Internet</w:t>
            </w:r>
          </w:p>
        </w:tc>
        <w:tc>
          <w:tcPr>
            <w:tcW w:w="2407" w:type="dxa"/>
          </w:tcPr>
          <w:p w14:paraId="0DF26B75"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07" w:type="dxa"/>
          </w:tcPr>
          <w:p w14:paraId="28111117"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F65843" w14:paraId="0D1E865F" w14:textId="77777777" w:rsidTr="0038541E">
        <w:tc>
          <w:tcPr>
            <w:tcW w:w="2407" w:type="dxa"/>
          </w:tcPr>
          <w:p w14:paraId="18247162"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2407" w:type="dxa"/>
          </w:tcPr>
          <w:p w14:paraId="491E7FBD"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Rights of Migrants and Asylum Seekers; Human Rights</w:t>
            </w:r>
          </w:p>
        </w:tc>
        <w:tc>
          <w:tcPr>
            <w:tcW w:w="2407" w:type="dxa"/>
          </w:tcPr>
          <w:p w14:paraId="321745E9"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07" w:type="dxa"/>
          </w:tcPr>
          <w:p w14:paraId="41E1C3BA" w14:textId="77777777" w:rsidR="00F65843" w:rsidRDefault="00F65843" w:rsidP="003854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81</w:t>
            </w:r>
          </w:p>
        </w:tc>
      </w:tr>
    </w:tbl>
    <w:p w14:paraId="478EF3CC" w14:textId="7884F3C7" w:rsidR="00A9321A" w:rsidRDefault="009457CD" w:rsidP="00A9321A">
      <w:pPr>
        <w:spacing w:before="100" w:beforeAutospacing="1" w:after="100" w:afterAutospacing="1" w:line="240" w:lineRule="auto"/>
        <w:jc w:val="both"/>
        <w:rPr>
          <w:rFonts w:ascii="Times New Roman" w:hAnsi="Times New Roman"/>
          <w:bCs/>
          <w:sz w:val="24"/>
          <w:szCs w:val="24"/>
        </w:rPr>
      </w:pPr>
      <w:r>
        <w:rPr>
          <w:rFonts w:ascii="Times New Roman" w:hAnsi="Times New Roman"/>
          <w:sz w:val="24"/>
          <w:szCs w:val="24"/>
        </w:rPr>
        <w:t>35</w:t>
      </w:r>
      <w:r w:rsidR="00A9321A">
        <w:rPr>
          <w:rFonts w:ascii="Times New Roman" w:hAnsi="Times New Roman"/>
          <w:sz w:val="24"/>
          <w:szCs w:val="24"/>
        </w:rPr>
        <w:t xml:space="preserve">. Following the approved programmes for raising judicial competence, judges take part in annual trainings, seminars and international trainings related to the provisions of the Convention: </w:t>
      </w:r>
    </w:p>
    <w:tbl>
      <w:tblPr>
        <w:tblStyle w:val="TableGrid"/>
        <w:tblW w:w="0" w:type="auto"/>
        <w:tblLook w:val="04A0" w:firstRow="1" w:lastRow="0" w:firstColumn="1" w:lastColumn="0" w:noHBand="0" w:noVBand="1"/>
      </w:tblPr>
      <w:tblGrid>
        <w:gridCol w:w="2689"/>
        <w:gridCol w:w="3402"/>
        <w:gridCol w:w="3537"/>
      </w:tblGrid>
      <w:tr w:rsidR="00A9321A" w14:paraId="52D72044" w14:textId="77777777" w:rsidTr="00437723">
        <w:tc>
          <w:tcPr>
            <w:tcW w:w="2689" w:type="dxa"/>
          </w:tcPr>
          <w:p w14:paraId="522BB220"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Year</w:t>
            </w:r>
          </w:p>
        </w:tc>
        <w:tc>
          <w:tcPr>
            <w:tcW w:w="3402" w:type="dxa"/>
          </w:tcPr>
          <w:p w14:paraId="715D475E"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Topics of the trainings/seminars</w:t>
            </w:r>
          </w:p>
        </w:tc>
        <w:tc>
          <w:tcPr>
            <w:tcW w:w="3537" w:type="dxa"/>
          </w:tcPr>
          <w:p w14:paraId="2287E7DF"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Number of the trainings/seminars</w:t>
            </w:r>
          </w:p>
        </w:tc>
      </w:tr>
      <w:tr w:rsidR="00A9321A" w14:paraId="4BD418EC" w14:textId="77777777" w:rsidTr="00437723">
        <w:tc>
          <w:tcPr>
            <w:tcW w:w="2689" w:type="dxa"/>
          </w:tcPr>
          <w:p w14:paraId="21FDAAC5"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3402" w:type="dxa"/>
          </w:tcPr>
          <w:p w14:paraId="1B8D07C8"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Discrimination; Equal rights in labour law</w:t>
            </w:r>
          </w:p>
        </w:tc>
        <w:tc>
          <w:tcPr>
            <w:tcW w:w="3537" w:type="dxa"/>
          </w:tcPr>
          <w:p w14:paraId="0C7050B0"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A9321A" w14:paraId="550F1694" w14:textId="77777777" w:rsidTr="00437723">
        <w:tc>
          <w:tcPr>
            <w:tcW w:w="2689" w:type="dxa"/>
          </w:tcPr>
          <w:p w14:paraId="22CCFD4A"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3402" w:type="dxa"/>
          </w:tcPr>
          <w:p w14:paraId="2D1DB469"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Freedom of expression, </w:t>
            </w:r>
            <w:r>
              <w:rPr>
                <w:rFonts w:ascii="Times New Roman" w:hAnsi="Times New Roman"/>
                <w:sz w:val="24"/>
                <w:szCs w:val="24"/>
              </w:rPr>
              <w:t>Criminal acts against individual honour and dignity, freedom of sexual self-determination and inviolability’</w:t>
            </w:r>
          </w:p>
        </w:tc>
        <w:tc>
          <w:tcPr>
            <w:tcW w:w="3537" w:type="dxa"/>
          </w:tcPr>
          <w:p w14:paraId="679EE048"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A9321A" w14:paraId="6F62CE64" w14:textId="77777777" w:rsidTr="00437723">
        <w:tc>
          <w:tcPr>
            <w:tcW w:w="2689" w:type="dxa"/>
          </w:tcPr>
          <w:p w14:paraId="3EE1FF3C"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3402" w:type="dxa"/>
          </w:tcPr>
          <w:p w14:paraId="7F0987F8"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Human rights</w:t>
            </w:r>
          </w:p>
        </w:tc>
        <w:tc>
          <w:tcPr>
            <w:tcW w:w="3537" w:type="dxa"/>
          </w:tcPr>
          <w:p w14:paraId="2BB239DE"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 training programme (15 academic hours_</w:t>
            </w:r>
          </w:p>
        </w:tc>
      </w:tr>
      <w:tr w:rsidR="00A9321A" w14:paraId="530DE170" w14:textId="77777777" w:rsidTr="00437723">
        <w:tc>
          <w:tcPr>
            <w:tcW w:w="2689" w:type="dxa"/>
          </w:tcPr>
          <w:p w14:paraId="3C94BCE0"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3402" w:type="dxa"/>
          </w:tcPr>
          <w:p w14:paraId="311EC29B"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Refugees, Asylum, </w:t>
            </w:r>
          </w:p>
        </w:tc>
        <w:tc>
          <w:tcPr>
            <w:tcW w:w="3537" w:type="dxa"/>
          </w:tcPr>
          <w:p w14:paraId="041C7700" w14:textId="77777777" w:rsidR="00A9321A" w:rsidRDefault="00A9321A" w:rsidP="0043772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3</w:t>
            </w:r>
          </w:p>
        </w:tc>
      </w:tr>
    </w:tbl>
    <w:p w14:paraId="1AE9EF71" w14:textId="1C7F03AB" w:rsidR="00D96BE3" w:rsidRPr="00A75E02" w:rsidRDefault="009457C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36</w:t>
      </w:r>
      <w:r w:rsidR="00B62CFB" w:rsidRPr="00A75E02">
        <w:rPr>
          <w:rFonts w:ascii="Times New Roman" w:hAnsi="Times New Roman"/>
          <w:sz w:val="24"/>
          <w:szCs w:val="24"/>
        </w:rPr>
        <w:t>. In case of substantial changes in the l</w:t>
      </w:r>
      <w:r w:rsidR="001E5427">
        <w:rPr>
          <w:rFonts w:ascii="Times New Roman" w:hAnsi="Times New Roman"/>
          <w:sz w:val="24"/>
          <w:szCs w:val="24"/>
        </w:rPr>
        <w:t>egal framework concerning hate</w:t>
      </w:r>
      <w:r w:rsidR="00B62CFB" w:rsidRPr="00A75E02">
        <w:rPr>
          <w:rFonts w:ascii="Times New Roman" w:hAnsi="Times New Roman"/>
          <w:sz w:val="24"/>
          <w:szCs w:val="24"/>
        </w:rPr>
        <w:t xml:space="preserve"> crime</w:t>
      </w:r>
      <w:r w:rsidR="001E5427">
        <w:rPr>
          <w:rFonts w:ascii="Times New Roman" w:hAnsi="Times New Roman"/>
          <w:sz w:val="24"/>
          <w:szCs w:val="24"/>
        </w:rPr>
        <w:t>s</w:t>
      </w:r>
      <w:r w:rsidR="00B62CFB" w:rsidRPr="00A75E02">
        <w:rPr>
          <w:rFonts w:ascii="Times New Roman" w:hAnsi="Times New Roman"/>
          <w:sz w:val="24"/>
          <w:szCs w:val="24"/>
        </w:rPr>
        <w:t xml:space="preserve"> that would demand for additional specialised training on hatred related crime in the future, training programmes for judges </w:t>
      </w:r>
      <w:proofErr w:type="gramStart"/>
      <w:r w:rsidR="00B62CFB" w:rsidRPr="00A75E02">
        <w:rPr>
          <w:rFonts w:ascii="Times New Roman" w:hAnsi="Times New Roman"/>
          <w:sz w:val="24"/>
          <w:szCs w:val="24"/>
        </w:rPr>
        <w:t>may also be modified</w:t>
      </w:r>
      <w:proofErr w:type="gramEnd"/>
      <w:r w:rsidR="00B62CFB" w:rsidRPr="00A75E02">
        <w:rPr>
          <w:rFonts w:ascii="Times New Roman" w:hAnsi="Times New Roman"/>
          <w:sz w:val="24"/>
          <w:szCs w:val="24"/>
        </w:rPr>
        <w:t>.</w:t>
      </w:r>
      <w:r w:rsidR="001601D9">
        <w:rPr>
          <w:rFonts w:ascii="Times New Roman" w:hAnsi="Times New Roman"/>
          <w:sz w:val="24"/>
          <w:szCs w:val="24"/>
        </w:rPr>
        <w:t xml:space="preserve"> </w:t>
      </w:r>
    </w:p>
    <w:p w14:paraId="1B93760E" w14:textId="77777777" w:rsidR="00F000F7" w:rsidRPr="00A75E02" w:rsidRDefault="00726896"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 xml:space="preserve"> (c)</w:t>
      </w:r>
      <w:r w:rsidR="001601D9">
        <w:rPr>
          <w:rFonts w:ascii="Times New Roman" w:hAnsi="Times New Roman"/>
          <w:i/>
          <w:sz w:val="24"/>
          <w:szCs w:val="24"/>
        </w:rPr>
        <w:t xml:space="preserve">   </w:t>
      </w:r>
      <w:r w:rsidRPr="00A75E02">
        <w:rPr>
          <w:rFonts w:ascii="Times New Roman" w:hAnsi="Times New Roman"/>
          <w:i/>
          <w:sz w:val="24"/>
          <w:szCs w:val="24"/>
        </w:rPr>
        <w:t xml:space="preserve">Improve the systematic registration and recording of allegations of hate crime that </w:t>
      </w:r>
      <w:proofErr w:type="gramStart"/>
      <w:r w:rsidRPr="00A75E02">
        <w:rPr>
          <w:rFonts w:ascii="Times New Roman" w:hAnsi="Times New Roman"/>
          <w:i/>
          <w:sz w:val="24"/>
          <w:szCs w:val="24"/>
        </w:rPr>
        <w:t>are reported</w:t>
      </w:r>
      <w:proofErr w:type="gramEnd"/>
      <w:r w:rsidRPr="00A75E02">
        <w:rPr>
          <w:rFonts w:ascii="Times New Roman" w:hAnsi="Times New Roman"/>
          <w:i/>
          <w:sz w:val="24"/>
          <w:szCs w:val="24"/>
        </w:rPr>
        <w:t xml:space="preserve"> to the police and take measures to facilitate the lodging of complaints by victims of hate crime;</w:t>
      </w:r>
    </w:p>
    <w:p w14:paraId="0324ACD0" w14:textId="47548313" w:rsidR="00B62CFB" w:rsidRPr="00A75E02" w:rsidRDefault="009457CD" w:rsidP="00B62CFB">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37</w:t>
      </w:r>
      <w:r w:rsidR="00B62CFB" w:rsidRPr="00A75E02">
        <w:rPr>
          <w:rFonts w:ascii="Times New Roman" w:hAnsi="Times New Roman"/>
          <w:sz w:val="24"/>
          <w:szCs w:val="24"/>
        </w:rPr>
        <w:t xml:space="preserve">. As </w:t>
      </w:r>
      <w:r w:rsidR="0098495F" w:rsidRPr="00A75E02">
        <w:rPr>
          <w:rFonts w:ascii="Times New Roman" w:hAnsi="Times New Roman"/>
          <w:sz w:val="24"/>
          <w:szCs w:val="24"/>
        </w:rPr>
        <w:t>concerns</w:t>
      </w:r>
      <w:r w:rsidR="00B62CFB" w:rsidRPr="00A75E02">
        <w:rPr>
          <w:rFonts w:ascii="Times New Roman" w:hAnsi="Times New Roman"/>
          <w:sz w:val="24"/>
          <w:szCs w:val="24"/>
        </w:rPr>
        <w:t xml:space="preserve"> fight </w:t>
      </w:r>
      <w:r w:rsidR="00A17714">
        <w:rPr>
          <w:rFonts w:ascii="Times New Roman" w:hAnsi="Times New Roman"/>
          <w:sz w:val="24"/>
          <w:szCs w:val="24"/>
        </w:rPr>
        <w:t>against</w:t>
      </w:r>
      <w:r w:rsidR="00A17714" w:rsidRPr="00A75E02">
        <w:rPr>
          <w:rFonts w:ascii="Times New Roman" w:hAnsi="Times New Roman"/>
          <w:sz w:val="24"/>
          <w:szCs w:val="24"/>
        </w:rPr>
        <w:t xml:space="preserve"> </w:t>
      </w:r>
      <w:r w:rsidR="00B62CFB" w:rsidRPr="00A75E02">
        <w:rPr>
          <w:rFonts w:ascii="Times New Roman" w:hAnsi="Times New Roman"/>
          <w:sz w:val="24"/>
          <w:szCs w:val="24"/>
        </w:rPr>
        <w:t>hate crime</w:t>
      </w:r>
      <w:r w:rsidR="0098495F" w:rsidRPr="00A75E02">
        <w:rPr>
          <w:rFonts w:ascii="Times New Roman" w:hAnsi="Times New Roman"/>
          <w:sz w:val="24"/>
          <w:szCs w:val="24"/>
        </w:rPr>
        <w:t>,</w:t>
      </w:r>
      <w:r w:rsidR="00B62CFB" w:rsidRPr="00A75E02">
        <w:rPr>
          <w:rFonts w:ascii="Times New Roman" w:hAnsi="Times New Roman"/>
          <w:sz w:val="24"/>
          <w:szCs w:val="24"/>
        </w:rPr>
        <w:t xml:space="preserve"> the Prosecutor’s Office</w:t>
      </w:r>
      <w:r w:rsidR="004A18D2" w:rsidRPr="00A75E02">
        <w:rPr>
          <w:rFonts w:ascii="Times New Roman" w:hAnsi="Times New Roman"/>
          <w:sz w:val="24"/>
          <w:szCs w:val="24"/>
        </w:rPr>
        <w:t xml:space="preserve"> plans</w:t>
      </w:r>
      <w:r w:rsidR="00B62CFB" w:rsidRPr="00A75E02">
        <w:rPr>
          <w:rFonts w:ascii="Times New Roman" w:hAnsi="Times New Roman"/>
          <w:sz w:val="24"/>
          <w:szCs w:val="24"/>
        </w:rPr>
        <w:t xml:space="preserve">, within the competences assigned to it, to implement measures aimed at more effective investigation of such criminal offences and prosecution of </w:t>
      </w:r>
      <w:r w:rsidR="005C2FD7">
        <w:rPr>
          <w:rFonts w:ascii="Times New Roman" w:hAnsi="Times New Roman"/>
          <w:sz w:val="24"/>
          <w:szCs w:val="24"/>
        </w:rPr>
        <w:t>perpetrators</w:t>
      </w:r>
      <w:r w:rsidR="00B62CFB" w:rsidRPr="00A75E02">
        <w:rPr>
          <w:rFonts w:ascii="Times New Roman" w:hAnsi="Times New Roman"/>
          <w:sz w:val="24"/>
          <w:szCs w:val="24"/>
        </w:rPr>
        <w:t xml:space="preserve">. </w:t>
      </w:r>
      <w:proofErr w:type="gramStart"/>
      <w:r w:rsidR="00B62CFB" w:rsidRPr="00A75E02">
        <w:rPr>
          <w:rFonts w:ascii="Times New Roman" w:hAnsi="Times New Roman"/>
          <w:sz w:val="24"/>
          <w:szCs w:val="24"/>
        </w:rPr>
        <w:t xml:space="preserve">At </w:t>
      </w:r>
      <w:r w:rsidR="00124F00">
        <w:rPr>
          <w:rFonts w:ascii="Times New Roman" w:hAnsi="Times New Roman"/>
          <w:sz w:val="24"/>
          <w:szCs w:val="24"/>
        </w:rPr>
        <w:t>the moment</w:t>
      </w:r>
      <w:proofErr w:type="gramEnd"/>
      <w:r w:rsidR="005C2FD7">
        <w:rPr>
          <w:rFonts w:ascii="Times New Roman" w:hAnsi="Times New Roman"/>
          <w:sz w:val="24"/>
          <w:szCs w:val="24"/>
        </w:rPr>
        <w:t>,</w:t>
      </w:r>
      <w:r w:rsidR="00B62CFB" w:rsidRPr="00A75E02">
        <w:rPr>
          <w:rFonts w:ascii="Times New Roman" w:hAnsi="Times New Roman"/>
          <w:sz w:val="24"/>
          <w:szCs w:val="24"/>
        </w:rPr>
        <w:t xml:space="preserve"> </w:t>
      </w:r>
      <w:r w:rsidR="00124F00">
        <w:rPr>
          <w:rFonts w:ascii="Times New Roman" w:hAnsi="Times New Roman"/>
          <w:sz w:val="24"/>
          <w:szCs w:val="24"/>
        </w:rPr>
        <w:t xml:space="preserve">institutions of the Republic of Lithuania are considering </w:t>
      </w:r>
      <w:r w:rsidR="00B62CFB" w:rsidRPr="00A75E02">
        <w:rPr>
          <w:rFonts w:ascii="Times New Roman" w:hAnsi="Times New Roman"/>
          <w:sz w:val="24"/>
          <w:szCs w:val="24"/>
        </w:rPr>
        <w:t xml:space="preserve">the possibility </w:t>
      </w:r>
      <w:r w:rsidR="00124F00">
        <w:rPr>
          <w:rFonts w:ascii="Times New Roman" w:hAnsi="Times New Roman"/>
          <w:sz w:val="24"/>
          <w:szCs w:val="24"/>
        </w:rPr>
        <w:t>to submit</w:t>
      </w:r>
      <w:r w:rsidR="00B62CFB" w:rsidRPr="00A75E02">
        <w:rPr>
          <w:rFonts w:ascii="Times New Roman" w:hAnsi="Times New Roman"/>
          <w:sz w:val="24"/>
          <w:szCs w:val="24"/>
        </w:rPr>
        <w:t xml:space="preserve"> </w:t>
      </w:r>
      <w:r w:rsidR="006B2036">
        <w:rPr>
          <w:rFonts w:ascii="Times New Roman" w:hAnsi="Times New Roman"/>
          <w:sz w:val="24"/>
          <w:szCs w:val="24"/>
        </w:rPr>
        <w:t>to the European Commission</w:t>
      </w:r>
      <w:r w:rsidR="00B36119" w:rsidRPr="00A75E02">
        <w:rPr>
          <w:rFonts w:ascii="Times New Roman" w:hAnsi="Times New Roman"/>
          <w:sz w:val="24"/>
          <w:szCs w:val="24"/>
        </w:rPr>
        <w:t xml:space="preserve"> </w:t>
      </w:r>
      <w:r w:rsidR="00124F00">
        <w:rPr>
          <w:rFonts w:ascii="Times New Roman" w:hAnsi="Times New Roman"/>
          <w:sz w:val="24"/>
          <w:szCs w:val="24"/>
        </w:rPr>
        <w:t>application for a project</w:t>
      </w:r>
      <w:r w:rsidR="00B62CFB" w:rsidRPr="00A75E02">
        <w:rPr>
          <w:rFonts w:ascii="Times New Roman" w:hAnsi="Times New Roman"/>
          <w:sz w:val="24"/>
          <w:szCs w:val="24"/>
        </w:rPr>
        <w:t xml:space="preserve"> concerning </w:t>
      </w:r>
      <w:r w:rsidR="00124F00">
        <w:rPr>
          <w:rFonts w:ascii="Times New Roman" w:hAnsi="Times New Roman"/>
          <w:sz w:val="24"/>
          <w:szCs w:val="24"/>
        </w:rPr>
        <w:t>combating hate crimes</w:t>
      </w:r>
      <w:r w:rsidR="00B62CFB" w:rsidRPr="00A75E02">
        <w:rPr>
          <w:rFonts w:ascii="Times New Roman" w:hAnsi="Times New Roman"/>
          <w:sz w:val="24"/>
          <w:szCs w:val="24"/>
        </w:rPr>
        <w:t xml:space="preserve"> and incitement to hatre</w:t>
      </w:r>
      <w:r w:rsidR="00124F00">
        <w:rPr>
          <w:rFonts w:ascii="Times New Roman" w:hAnsi="Times New Roman"/>
          <w:sz w:val="24"/>
          <w:szCs w:val="24"/>
        </w:rPr>
        <w:t>d</w:t>
      </w:r>
      <w:r w:rsidR="00B62CFB" w:rsidRPr="00A75E02">
        <w:rPr>
          <w:rFonts w:ascii="Times New Roman" w:hAnsi="Times New Roman"/>
          <w:sz w:val="24"/>
          <w:szCs w:val="24"/>
        </w:rPr>
        <w:t>. The purpose of this project is to develop effective measures and frame the practice</w:t>
      </w:r>
      <w:r w:rsidR="003C555D">
        <w:rPr>
          <w:rFonts w:ascii="Times New Roman" w:hAnsi="Times New Roman"/>
          <w:sz w:val="24"/>
          <w:szCs w:val="24"/>
        </w:rPr>
        <w:t xml:space="preserve">, through trainings and preparation of recommendations for police </w:t>
      </w:r>
      <w:r w:rsidR="003C555D">
        <w:rPr>
          <w:rFonts w:ascii="Times New Roman" w:hAnsi="Times New Roman"/>
          <w:sz w:val="24"/>
          <w:szCs w:val="24"/>
        </w:rPr>
        <w:lastRenderedPageBreak/>
        <w:t>officers, prosecutors and judges,</w:t>
      </w:r>
      <w:r w:rsidR="00B62CFB" w:rsidRPr="00A75E02">
        <w:rPr>
          <w:rFonts w:ascii="Times New Roman" w:hAnsi="Times New Roman"/>
          <w:sz w:val="24"/>
          <w:szCs w:val="24"/>
        </w:rPr>
        <w:t xml:space="preserve"> aimed at preventing racism, xenophobia and other forms of intolerance </w:t>
      </w:r>
      <w:r w:rsidR="00B36119" w:rsidRPr="00A75E02">
        <w:rPr>
          <w:rFonts w:ascii="Times New Roman" w:hAnsi="Times New Roman"/>
          <w:sz w:val="24"/>
          <w:szCs w:val="24"/>
        </w:rPr>
        <w:t xml:space="preserve">paying </w:t>
      </w:r>
      <w:r w:rsidR="00B62CFB" w:rsidRPr="00A75E02">
        <w:rPr>
          <w:rFonts w:ascii="Times New Roman" w:hAnsi="Times New Roman"/>
          <w:sz w:val="24"/>
          <w:szCs w:val="24"/>
        </w:rPr>
        <w:t xml:space="preserve">particular attention to the fight against hate crimes and hate speech. The activities of the project would </w:t>
      </w:r>
      <w:r w:rsidR="003C555D">
        <w:rPr>
          <w:rFonts w:ascii="Times New Roman" w:hAnsi="Times New Roman"/>
          <w:sz w:val="24"/>
          <w:szCs w:val="24"/>
        </w:rPr>
        <w:t xml:space="preserve">also </w:t>
      </w:r>
      <w:r w:rsidR="00B62CFB" w:rsidRPr="00A75E02">
        <w:rPr>
          <w:rFonts w:ascii="Times New Roman" w:hAnsi="Times New Roman"/>
          <w:sz w:val="24"/>
          <w:szCs w:val="24"/>
        </w:rPr>
        <w:t>include training for police officers and prosecutors on the topics of Directive 2012/29/EU of the European Parliament and of the Council of 25 October 2012 establishing minimum standards on the rights, support and protection of victims of crime, and replacing Council Framework Decision 2001/220/JHA.</w:t>
      </w:r>
    </w:p>
    <w:p w14:paraId="3106641B" w14:textId="55249751" w:rsidR="00B62CFB" w:rsidRPr="00A75E02" w:rsidRDefault="009457CD" w:rsidP="00B62CFB">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38</w:t>
      </w:r>
      <w:r w:rsidR="00B62CFB" w:rsidRPr="00A75E02">
        <w:rPr>
          <w:rFonts w:ascii="Times New Roman" w:hAnsi="Times New Roman"/>
          <w:sz w:val="24"/>
          <w:szCs w:val="24"/>
        </w:rPr>
        <w:t>. In addition</w:t>
      </w:r>
      <w:r w:rsidR="00877E86" w:rsidRPr="00A75E02">
        <w:rPr>
          <w:rFonts w:ascii="Times New Roman" w:hAnsi="Times New Roman"/>
          <w:sz w:val="24"/>
          <w:szCs w:val="24"/>
        </w:rPr>
        <w:t>,</w:t>
      </w:r>
      <w:r w:rsidR="0020239A">
        <w:rPr>
          <w:rFonts w:ascii="Times New Roman" w:hAnsi="Times New Roman"/>
          <w:sz w:val="24"/>
          <w:szCs w:val="24"/>
        </w:rPr>
        <w:t xml:space="preserve"> further recommendations for combating </w:t>
      </w:r>
      <w:r w:rsidR="00B62CFB" w:rsidRPr="00A75E02">
        <w:rPr>
          <w:rFonts w:ascii="Times New Roman" w:hAnsi="Times New Roman"/>
          <w:sz w:val="24"/>
          <w:szCs w:val="24"/>
        </w:rPr>
        <w:t xml:space="preserve">crimes committed on the grounds of race, discrimination or xenophobia </w:t>
      </w:r>
      <w:proofErr w:type="gramStart"/>
      <w:r w:rsidR="0020239A">
        <w:rPr>
          <w:rFonts w:ascii="Times New Roman" w:hAnsi="Times New Roman"/>
          <w:sz w:val="24"/>
          <w:szCs w:val="24"/>
        </w:rPr>
        <w:t>will</w:t>
      </w:r>
      <w:r w:rsidR="00B62CFB" w:rsidRPr="00A75E02">
        <w:rPr>
          <w:rFonts w:ascii="Times New Roman" w:hAnsi="Times New Roman"/>
          <w:sz w:val="24"/>
          <w:szCs w:val="24"/>
        </w:rPr>
        <w:t xml:space="preserve"> be </w:t>
      </w:r>
      <w:r w:rsidR="0020239A">
        <w:rPr>
          <w:rFonts w:ascii="Times New Roman" w:hAnsi="Times New Roman"/>
          <w:sz w:val="24"/>
          <w:szCs w:val="24"/>
        </w:rPr>
        <w:t>introduced</w:t>
      </w:r>
      <w:proofErr w:type="gramEnd"/>
      <w:r w:rsidR="00B62CFB" w:rsidRPr="00A75E02">
        <w:rPr>
          <w:rFonts w:ascii="Times New Roman" w:hAnsi="Times New Roman"/>
          <w:sz w:val="24"/>
          <w:szCs w:val="24"/>
        </w:rPr>
        <w:t>; such recommendations would help officers performing pre</w:t>
      </w:r>
      <w:r w:rsidR="00E739FF" w:rsidRPr="00A75E02">
        <w:rPr>
          <w:rFonts w:ascii="Times New Roman" w:hAnsi="Times New Roman"/>
          <w:sz w:val="24"/>
          <w:szCs w:val="24"/>
        </w:rPr>
        <w:t>-</w:t>
      </w:r>
      <w:r w:rsidR="00B62CFB" w:rsidRPr="00A75E02">
        <w:rPr>
          <w:rFonts w:ascii="Times New Roman" w:hAnsi="Times New Roman"/>
          <w:sz w:val="24"/>
          <w:szCs w:val="24"/>
        </w:rPr>
        <w:t>trial investigation of this category and prosecutors organising those pre</w:t>
      </w:r>
      <w:r w:rsidR="00E739FF" w:rsidRPr="00A75E02">
        <w:rPr>
          <w:rFonts w:ascii="Times New Roman" w:hAnsi="Times New Roman"/>
          <w:sz w:val="24"/>
          <w:szCs w:val="24"/>
        </w:rPr>
        <w:t>-</w:t>
      </w:r>
      <w:r w:rsidR="00B62CFB" w:rsidRPr="00A75E02">
        <w:rPr>
          <w:rFonts w:ascii="Times New Roman" w:hAnsi="Times New Roman"/>
          <w:sz w:val="24"/>
          <w:szCs w:val="24"/>
        </w:rPr>
        <w:t xml:space="preserve">trial investigations to ensure enhanced quality and efficiency in detecting criminal offences </w:t>
      </w:r>
      <w:r w:rsidR="0020239A">
        <w:rPr>
          <w:rFonts w:ascii="Times New Roman" w:hAnsi="Times New Roman"/>
          <w:sz w:val="24"/>
          <w:szCs w:val="24"/>
        </w:rPr>
        <w:t>and prosecuting perpetrators</w:t>
      </w:r>
      <w:r w:rsidR="00B62CFB" w:rsidRPr="00A75E02">
        <w:rPr>
          <w:rFonts w:ascii="Times New Roman" w:hAnsi="Times New Roman"/>
          <w:sz w:val="24"/>
          <w:szCs w:val="24"/>
        </w:rPr>
        <w:t>.</w:t>
      </w:r>
      <w:r w:rsidR="001601D9">
        <w:rPr>
          <w:rFonts w:ascii="Times New Roman" w:hAnsi="Times New Roman"/>
          <w:sz w:val="24"/>
          <w:szCs w:val="24"/>
        </w:rPr>
        <w:t xml:space="preserve"> </w:t>
      </w:r>
      <w:r w:rsidR="00B62CFB" w:rsidRPr="00A75E02">
        <w:rPr>
          <w:rFonts w:ascii="Times New Roman" w:hAnsi="Times New Roman"/>
          <w:sz w:val="24"/>
          <w:szCs w:val="24"/>
        </w:rPr>
        <w:t>In addition</w:t>
      </w:r>
      <w:r w:rsidR="00A26A1F" w:rsidRPr="00A75E02">
        <w:rPr>
          <w:rFonts w:ascii="Times New Roman" w:hAnsi="Times New Roman"/>
          <w:sz w:val="24"/>
          <w:szCs w:val="24"/>
        </w:rPr>
        <w:t>,</w:t>
      </w:r>
      <w:r w:rsidR="00B62CFB" w:rsidRPr="00A75E02">
        <w:rPr>
          <w:rFonts w:ascii="Times New Roman" w:hAnsi="Times New Roman"/>
          <w:sz w:val="24"/>
          <w:szCs w:val="24"/>
        </w:rPr>
        <w:t xml:space="preserve"> a summary of prosecutors’ activities performed when organising pre</w:t>
      </w:r>
      <w:r w:rsidR="00E739FF" w:rsidRPr="00A75E02">
        <w:rPr>
          <w:rFonts w:ascii="Times New Roman" w:hAnsi="Times New Roman"/>
          <w:sz w:val="24"/>
          <w:szCs w:val="24"/>
        </w:rPr>
        <w:t>-</w:t>
      </w:r>
      <w:r w:rsidR="00B62CFB" w:rsidRPr="00A75E02">
        <w:rPr>
          <w:rFonts w:ascii="Times New Roman" w:hAnsi="Times New Roman"/>
          <w:sz w:val="24"/>
          <w:szCs w:val="24"/>
        </w:rPr>
        <w:t xml:space="preserve">trial investigations of this category and </w:t>
      </w:r>
      <w:r w:rsidR="006B47EA">
        <w:rPr>
          <w:rFonts w:ascii="Times New Roman" w:hAnsi="Times New Roman"/>
          <w:sz w:val="24"/>
          <w:szCs w:val="24"/>
        </w:rPr>
        <w:t>supporting</w:t>
      </w:r>
      <w:r w:rsidR="00B62CFB" w:rsidRPr="00A75E02">
        <w:rPr>
          <w:rFonts w:ascii="Times New Roman" w:hAnsi="Times New Roman"/>
          <w:sz w:val="24"/>
          <w:szCs w:val="24"/>
        </w:rPr>
        <w:t xml:space="preserve"> formal accusation in criminal cases of this category </w:t>
      </w:r>
      <w:r w:rsidR="00CE3C8D">
        <w:rPr>
          <w:rFonts w:ascii="Times New Roman" w:hAnsi="Times New Roman"/>
          <w:sz w:val="24"/>
          <w:szCs w:val="24"/>
        </w:rPr>
        <w:t>will</w:t>
      </w:r>
      <w:r w:rsidR="00B62CFB" w:rsidRPr="00A75E02">
        <w:rPr>
          <w:rFonts w:ascii="Times New Roman" w:hAnsi="Times New Roman"/>
          <w:sz w:val="24"/>
          <w:szCs w:val="24"/>
        </w:rPr>
        <w:t xml:space="preserve"> be prepared</w:t>
      </w:r>
      <w:r w:rsidR="00CE3C8D">
        <w:rPr>
          <w:rFonts w:ascii="Times New Roman" w:hAnsi="Times New Roman"/>
          <w:sz w:val="24"/>
          <w:szCs w:val="24"/>
        </w:rPr>
        <w:t>.</w:t>
      </w:r>
      <w:r w:rsidR="00B62CFB" w:rsidRPr="00A75E02">
        <w:rPr>
          <w:rFonts w:ascii="Times New Roman" w:hAnsi="Times New Roman"/>
          <w:sz w:val="24"/>
          <w:szCs w:val="24"/>
        </w:rPr>
        <w:t xml:space="preserve"> </w:t>
      </w:r>
      <w:r w:rsidR="00CE3C8D">
        <w:rPr>
          <w:rFonts w:ascii="Times New Roman" w:hAnsi="Times New Roman"/>
          <w:sz w:val="24"/>
          <w:szCs w:val="24"/>
        </w:rPr>
        <w:t>Identified problem</w:t>
      </w:r>
      <w:r w:rsidR="00FF34FC">
        <w:rPr>
          <w:rFonts w:ascii="Times New Roman" w:hAnsi="Times New Roman"/>
          <w:sz w:val="24"/>
          <w:szCs w:val="24"/>
        </w:rPr>
        <w:t>s</w:t>
      </w:r>
      <w:r w:rsidR="00CE3C8D">
        <w:rPr>
          <w:rFonts w:ascii="Times New Roman" w:hAnsi="Times New Roman"/>
          <w:sz w:val="24"/>
          <w:szCs w:val="24"/>
        </w:rPr>
        <w:t xml:space="preserve"> </w:t>
      </w:r>
      <w:proofErr w:type="gramStart"/>
      <w:r w:rsidR="00CE3C8D">
        <w:rPr>
          <w:rFonts w:ascii="Times New Roman" w:hAnsi="Times New Roman"/>
          <w:sz w:val="24"/>
          <w:szCs w:val="24"/>
        </w:rPr>
        <w:t>will be taken</w:t>
      </w:r>
      <w:proofErr w:type="gramEnd"/>
      <w:r w:rsidR="00CE3C8D">
        <w:rPr>
          <w:rFonts w:ascii="Times New Roman" w:hAnsi="Times New Roman"/>
          <w:sz w:val="24"/>
          <w:szCs w:val="24"/>
        </w:rPr>
        <w:t xml:space="preserve"> into account</w:t>
      </w:r>
      <w:r w:rsidR="00FF34FC">
        <w:rPr>
          <w:rFonts w:ascii="Times New Roman" w:hAnsi="Times New Roman"/>
          <w:sz w:val="24"/>
          <w:szCs w:val="24"/>
        </w:rPr>
        <w:t xml:space="preserve"> with the aim </w:t>
      </w:r>
      <w:r w:rsidR="00F8784B">
        <w:rPr>
          <w:rFonts w:ascii="Times New Roman" w:hAnsi="Times New Roman"/>
          <w:sz w:val="24"/>
          <w:szCs w:val="24"/>
        </w:rPr>
        <w:t xml:space="preserve">to seek solutions to </w:t>
      </w:r>
      <w:r w:rsidR="00FF34FC">
        <w:rPr>
          <w:rFonts w:ascii="Times New Roman" w:hAnsi="Times New Roman"/>
          <w:sz w:val="24"/>
          <w:szCs w:val="24"/>
        </w:rPr>
        <w:t>those</w:t>
      </w:r>
      <w:r w:rsidR="00B62CFB" w:rsidRPr="00A75E02">
        <w:rPr>
          <w:rFonts w:ascii="Times New Roman" w:hAnsi="Times New Roman"/>
          <w:sz w:val="24"/>
          <w:szCs w:val="24"/>
        </w:rPr>
        <w:t xml:space="preserve"> prob</w:t>
      </w:r>
      <w:r w:rsidR="00CE3C8D">
        <w:rPr>
          <w:rFonts w:ascii="Times New Roman" w:hAnsi="Times New Roman"/>
          <w:sz w:val="24"/>
          <w:szCs w:val="24"/>
        </w:rPr>
        <w:t>lems. T</w:t>
      </w:r>
      <w:r w:rsidR="00F8784B">
        <w:rPr>
          <w:rFonts w:ascii="Times New Roman" w:hAnsi="Times New Roman"/>
          <w:sz w:val="24"/>
          <w:szCs w:val="24"/>
        </w:rPr>
        <w:t>he</w:t>
      </w:r>
      <w:r w:rsidR="00B62CFB" w:rsidRPr="00A75E02">
        <w:rPr>
          <w:rFonts w:ascii="Times New Roman" w:hAnsi="Times New Roman"/>
          <w:sz w:val="24"/>
          <w:szCs w:val="24"/>
        </w:rPr>
        <w:t xml:space="preserve"> society</w:t>
      </w:r>
      <w:r w:rsidR="00CE3C8D">
        <w:rPr>
          <w:rFonts w:ascii="Times New Roman" w:hAnsi="Times New Roman"/>
          <w:sz w:val="24"/>
          <w:szCs w:val="24"/>
        </w:rPr>
        <w:t xml:space="preserve"> </w:t>
      </w:r>
      <w:proofErr w:type="gramStart"/>
      <w:r w:rsidR="00CE3C8D">
        <w:rPr>
          <w:rFonts w:ascii="Times New Roman" w:hAnsi="Times New Roman"/>
          <w:sz w:val="24"/>
          <w:szCs w:val="24"/>
        </w:rPr>
        <w:t>will be informed</w:t>
      </w:r>
      <w:proofErr w:type="gramEnd"/>
      <w:r w:rsidR="00B62CFB" w:rsidRPr="00A75E02">
        <w:rPr>
          <w:rFonts w:ascii="Times New Roman" w:hAnsi="Times New Roman"/>
          <w:sz w:val="24"/>
          <w:szCs w:val="24"/>
        </w:rPr>
        <w:t xml:space="preserve"> about initiated pre</w:t>
      </w:r>
      <w:r w:rsidR="00E739FF" w:rsidRPr="00A75E02">
        <w:rPr>
          <w:rFonts w:ascii="Times New Roman" w:hAnsi="Times New Roman"/>
          <w:sz w:val="24"/>
          <w:szCs w:val="24"/>
        </w:rPr>
        <w:t>-</w:t>
      </w:r>
      <w:r w:rsidR="00B62CFB" w:rsidRPr="00A75E02">
        <w:rPr>
          <w:rFonts w:ascii="Times New Roman" w:hAnsi="Times New Roman"/>
          <w:sz w:val="24"/>
          <w:szCs w:val="24"/>
        </w:rPr>
        <w:t xml:space="preserve">trial investigations on hate crimes committed on the grounds of race, discrimination or xenophobia and outcomes of criminal cases of </w:t>
      </w:r>
      <w:r w:rsidR="00CE3C8D">
        <w:rPr>
          <w:rFonts w:ascii="Times New Roman" w:hAnsi="Times New Roman"/>
          <w:sz w:val="24"/>
          <w:szCs w:val="24"/>
        </w:rPr>
        <w:t>this category</w:t>
      </w:r>
      <w:r w:rsidR="00B62CFB" w:rsidRPr="00A75E02">
        <w:rPr>
          <w:rFonts w:ascii="Times New Roman" w:hAnsi="Times New Roman"/>
          <w:sz w:val="24"/>
          <w:szCs w:val="24"/>
        </w:rPr>
        <w:t>.</w:t>
      </w:r>
    </w:p>
    <w:p w14:paraId="5D3B30A8" w14:textId="5668908D" w:rsidR="00B62CFB" w:rsidRPr="00A75E02" w:rsidRDefault="009457CD" w:rsidP="00B62CFB">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39</w:t>
      </w:r>
      <w:r w:rsidR="00B62CFB" w:rsidRPr="00A75E02">
        <w:rPr>
          <w:rFonts w:ascii="Times New Roman" w:hAnsi="Times New Roman"/>
          <w:sz w:val="24"/>
          <w:szCs w:val="24"/>
        </w:rPr>
        <w:t xml:space="preserve">. During the </w:t>
      </w:r>
      <w:r w:rsidR="00B136EB">
        <w:rPr>
          <w:rFonts w:ascii="Times New Roman" w:hAnsi="Times New Roman"/>
          <w:sz w:val="24"/>
          <w:szCs w:val="24"/>
        </w:rPr>
        <w:t xml:space="preserve">period of </w:t>
      </w:r>
      <w:r w:rsidR="00B62CFB" w:rsidRPr="00A75E02">
        <w:rPr>
          <w:rFonts w:ascii="Times New Roman" w:hAnsi="Times New Roman"/>
          <w:sz w:val="24"/>
          <w:szCs w:val="24"/>
        </w:rPr>
        <w:t xml:space="preserve">2014-2016 the Information System of Lithuania Courts (LITEKO) </w:t>
      </w:r>
      <w:r w:rsidR="00B136EB">
        <w:rPr>
          <w:rFonts w:ascii="Times New Roman" w:hAnsi="Times New Roman"/>
          <w:sz w:val="24"/>
          <w:szCs w:val="24"/>
        </w:rPr>
        <w:t xml:space="preserve">collected the data provided </w:t>
      </w:r>
      <w:r w:rsidR="00B62CFB" w:rsidRPr="00A75E02">
        <w:rPr>
          <w:rFonts w:ascii="Times New Roman" w:hAnsi="Times New Roman"/>
          <w:sz w:val="24"/>
          <w:szCs w:val="24"/>
        </w:rPr>
        <w:t xml:space="preserve">by the courts on cases related to crimes referred to in Article 169 (Discrimination on </w:t>
      </w:r>
      <w:r w:rsidR="004C2BF2" w:rsidRPr="00A75E02">
        <w:rPr>
          <w:rFonts w:ascii="Times New Roman" w:hAnsi="Times New Roman"/>
          <w:sz w:val="24"/>
          <w:szCs w:val="24"/>
        </w:rPr>
        <w:t>g</w:t>
      </w:r>
      <w:r w:rsidR="00B62CFB" w:rsidRPr="00A75E02">
        <w:rPr>
          <w:rFonts w:ascii="Times New Roman" w:hAnsi="Times New Roman"/>
          <w:sz w:val="24"/>
          <w:szCs w:val="24"/>
        </w:rPr>
        <w:t xml:space="preserve">rounds of </w:t>
      </w:r>
      <w:r w:rsidR="004C2BF2" w:rsidRPr="00A75E02">
        <w:rPr>
          <w:rFonts w:ascii="Times New Roman" w:hAnsi="Times New Roman"/>
          <w:sz w:val="24"/>
          <w:szCs w:val="24"/>
        </w:rPr>
        <w:t>n</w:t>
      </w:r>
      <w:r w:rsidR="00B62CFB" w:rsidRPr="00A75E02">
        <w:rPr>
          <w:rFonts w:ascii="Times New Roman" w:hAnsi="Times New Roman"/>
          <w:sz w:val="24"/>
          <w:szCs w:val="24"/>
        </w:rPr>
        <w:t xml:space="preserve">ationality, </w:t>
      </w:r>
      <w:r w:rsidR="004C2BF2" w:rsidRPr="00A75E02">
        <w:rPr>
          <w:rFonts w:ascii="Times New Roman" w:hAnsi="Times New Roman"/>
          <w:sz w:val="24"/>
          <w:szCs w:val="24"/>
        </w:rPr>
        <w:t>r</w:t>
      </w:r>
      <w:r w:rsidR="00B62CFB" w:rsidRPr="00A75E02">
        <w:rPr>
          <w:rFonts w:ascii="Times New Roman" w:hAnsi="Times New Roman"/>
          <w:sz w:val="24"/>
          <w:szCs w:val="24"/>
        </w:rPr>
        <w:t xml:space="preserve">ace, </w:t>
      </w:r>
      <w:r w:rsidR="004C2BF2" w:rsidRPr="00A75E02">
        <w:rPr>
          <w:rFonts w:ascii="Times New Roman" w:hAnsi="Times New Roman"/>
          <w:sz w:val="24"/>
          <w:szCs w:val="24"/>
        </w:rPr>
        <w:t>s</w:t>
      </w:r>
      <w:r w:rsidR="00B62CFB" w:rsidRPr="00A75E02">
        <w:rPr>
          <w:rFonts w:ascii="Times New Roman" w:hAnsi="Times New Roman"/>
          <w:sz w:val="24"/>
          <w:szCs w:val="24"/>
        </w:rPr>
        <w:t xml:space="preserve">ex, </w:t>
      </w:r>
      <w:r w:rsidR="004C2BF2" w:rsidRPr="00A75E02">
        <w:rPr>
          <w:rFonts w:ascii="Times New Roman" w:hAnsi="Times New Roman"/>
          <w:sz w:val="24"/>
          <w:szCs w:val="24"/>
        </w:rPr>
        <w:t>d</w:t>
      </w:r>
      <w:r w:rsidR="00B62CFB" w:rsidRPr="00A75E02">
        <w:rPr>
          <w:rFonts w:ascii="Times New Roman" w:hAnsi="Times New Roman"/>
          <w:sz w:val="24"/>
          <w:szCs w:val="24"/>
        </w:rPr>
        <w:t xml:space="preserve">escent, </w:t>
      </w:r>
      <w:r w:rsidR="004C2BF2" w:rsidRPr="00A75E02">
        <w:rPr>
          <w:rFonts w:ascii="Times New Roman" w:hAnsi="Times New Roman"/>
          <w:sz w:val="24"/>
          <w:szCs w:val="24"/>
        </w:rPr>
        <w:t>r</w:t>
      </w:r>
      <w:r w:rsidR="00B62CFB" w:rsidRPr="00A75E02">
        <w:rPr>
          <w:rFonts w:ascii="Times New Roman" w:hAnsi="Times New Roman"/>
          <w:sz w:val="24"/>
          <w:szCs w:val="24"/>
        </w:rPr>
        <w:t xml:space="preserve">eligion or </w:t>
      </w:r>
      <w:r w:rsidR="004C2BF2" w:rsidRPr="00A75E02">
        <w:rPr>
          <w:rFonts w:ascii="Times New Roman" w:hAnsi="Times New Roman"/>
          <w:sz w:val="24"/>
          <w:szCs w:val="24"/>
        </w:rPr>
        <w:t>b</w:t>
      </w:r>
      <w:r w:rsidR="00B62CFB" w:rsidRPr="00A75E02">
        <w:rPr>
          <w:rFonts w:ascii="Times New Roman" w:hAnsi="Times New Roman"/>
          <w:sz w:val="24"/>
          <w:szCs w:val="24"/>
        </w:rPr>
        <w:t xml:space="preserve">elonging to </w:t>
      </w:r>
      <w:r w:rsidR="004C2BF2" w:rsidRPr="00A75E02">
        <w:rPr>
          <w:rFonts w:ascii="Times New Roman" w:hAnsi="Times New Roman"/>
          <w:sz w:val="24"/>
          <w:szCs w:val="24"/>
        </w:rPr>
        <w:t>o</w:t>
      </w:r>
      <w:r w:rsidR="00B62CFB" w:rsidRPr="00A75E02">
        <w:rPr>
          <w:rFonts w:ascii="Times New Roman" w:hAnsi="Times New Roman"/>
          <w:sz w:val="24"/>
          <w:szCs w:val="24"/>
        </w:rPr>
        <w:t xml:space="preserve">ther </w:t>
      </w:r>
      <w:r w:rsidR="004C2BF2" w:rsidRPr="00A75E02">
        <w:rPr>
          <w:rFonts w:ascii="Times New Roman" w:hAnsi="Times New Roman"/>
          <w:sz w:val="24"/>
          <w:szCs w:val="24"/>
        </w:rPr>
        <w:t>g</w:t>
      </w:r>
      <w:r w:rsidR="00B62CFB" w:rsidRPr="00A75E02">
        <w:rPr>
          <w:rFonts w:ascii="Times New Roman" w:hAnsi="Times New Roman"/>
          <w:sz w:val="24"/>
          <w:szCs w:val="24"/>
        </w:rPr>
        <w:t xml:space="preserve">roups), Article 170 (Incitement against </w:t>
      </w:r>
      <w:r w:rsidR="00F34942" w:rsidRPr="00A75E02">
        <w:rPr>
          <w:rFonts w:ascii="Times New Roman" w:hAnsi="Times New Roman"/>
          <w:sz w:val="24"/>
          <w:szCs w:val="24"/>
        </w:rPr>
        <w:t>a</w:t>
      </w:r>
      <w:r w:rsidR="00B62CFB" w:rsidRPr="00A75E02">
        <w:rPr>
          <w:rFonts w:ascii="Times New Roman" w:hAnsi="Times New Roman"/>
          <w:sz w:val="24"/>
          <w:szCs w:val="24"/>
        </w:rPr>
        <w:t xml:space="preserve">ny </w:t>
      </w:r>
      <w:r w:rsidR="00F34942" w:rsidRPr="00A75E02">
        <w:rPr>
          <w:rFonts w:ascii="Times New Roman" w:hAnsi="Times New Roman"/>
          <w:sz w:val="24"/>
          <w:szCs w:val="24"/>
        </w:rPr>
        <w:t>n</w:t>
      </w:r>
      <w:r w:rsidR="00B62CFB" w:rsidRPr="00A75E02">
        <w:rPr>
          <w:rFonts w:ascii="Times New Roman" w:hAnsi="Times New Roman"/>
          <w:sz w:val="24"/>
          <w:szCs w:val="24"/>
        </w:rPr>
        <w:t xml:space="preserve">ational, </w:t>
      </w:r>
      <w:r w:rsidR="00F34942" w:rsidRPr="00A75E02">
        <w:rPr>
          <w:rFonts w:ascii="Times New Roman" w:hAnsi="Times New Roman"/>
          <w:sz w:val="24"/>
          <w:szCs w:val="24"/>
        </w:rPr>
        <w:t>r</w:t>
      </w:r>
      <w:r w:rsidR="00B62CFB" w:rsidRPr="00A75E02">
        <w:rPr>
          <w:rFonts w:ascii="Times New Roman" w:hAnsi="Times New Roman"/>
          <w:sz w:val="24"/>
          <w:szCs w:val="24"/>
        </w:rPr>
        <w:t xml:space="preserve">acial, </w:t>
      </w:r>
      <w:r w:rsidR="00F34942" w:rsidRPr="00A75E02">
        <w:rPr>
          <w:rFonts w:ascii="Times New Roman" w:hAnsi="Times New Roman"/>
          <w:sz w:val="24"/>
          <w:szCs w:val="24"/>
        </w:rPr>
        <w:t>e</w:t>
      </w:r>
      <w:r w:rsidR="00B62CFB" w:rsidRPr="00A75E02">
        <w:rPr>
          <w:rFonts w:ascii="Times New Roman" w:hAnsi="Times New Roman"/>
          <w:sz w:val="24"/>
          <w:szCs w:val="24"/>
        </w:rPr>
        <w:t xml:space="preserve">thnic, </w:t>
      </w:r>
      <w:r w:rsidR="00F34942" w:rsidRPr="00A75E02">
        <w:rPr>
          <w:rFonts w:ascii="Times New Roman" w:hAnsi="Times New Roman"/>
          <w:sz w:val="24"/>
          <w:szCs w:val="24"/>
        </w:rPr>
        <w:t>r</w:t>
      </w:r>
      <w:r w:rsidR="00B62CFB" w:rsidRPr="00A75E02">
        <w:rPr>
          <w:rFonts w:ascii="Times New Roman" w:hAnsi="Times New Roman"/>
          <w:sz w:val="24"/>
          <w:szCs w:val="24"/>
        </w:rPr>
        <w:t xml:space="preserve">eligious or </w:t>
      </w:r>
      <w:r w:rsidR="00F34942" w:rsidRPr="00A75E02">
        <w:rPr>
          <w:rFonts w:ascii="Times New Roman" w:hAnsi="Times New Roman"/>
          <w:sz w:val="24"/>
          <w:szCs w:val="24"/>
        </w:rPr>
        <w:t>o</w:t>
      </w:r>
      <w:r w:rsidR="00B62CFB" w:rsidRPr="00A75E02">
        <w:rPr>
          <w:rFonts w:ascii="Times New Roman" w:hAnsi="Times New Roman"/>
          <w:sz w:val="24"/>
          <w:szCs w:val="24"/>
        </w:rPr>
        <w:t xml:space="preserve">ther </w:t>
      </w:r>
      <w:r w:rsidR="00F34942" w:rsidRPr="00A75E02">
        <w:rPr>
          <w:rFonts w:ascii="Times New Roman" w:hAnsi="Times New Roman"/>
          <w:sz w:val="24"/>
          <w:szCs w:val="24"/>
        </w:rPr>
        <w:t>g</w:t>
      </w:r>
      <w:r w:rsidR="00B62CFB" w:rsidRPr="00A75E02">
        <w:rPr>
          <w:rFonts w:ascii="Times New Roman" w:hAnsi="Times New Roman"/>
          <w:sz w:val="24"/>
          <w:szCs w:val="24"/>
        </w:rPr>
        <w:t xml:space="preserve">roup of </w:t>
      </w:r>
      <w:r w:rsidR="00F34942" w:rsidRPr="00A75E02">
        <w:rPr>
          <w:rFonts w:ascii="Times New Roman" w:hAnsi="Times New Roman"/>
          <w:sz w:val="24"/>
          <w:szCs w:val="24"/>
        </w:rPr>
        <w:t>p</w:t>
      </w:r>
      <w:r w:rsidR="00B62CFB" w:rsidRPr="00A75E02">
        <w:rPr>
          <w:rFonts w:ascii="Times New Roman" w:hAnsi="Times New Roman"/>
          <w:sz w:val="24"/>
          <w:szCs w:val="24"/>
        </w:rPr>
        <w:t xml:space="preserve">ersons), Article 312 (Desecration of a </w:t>
      </w:r>
      <w:r w:rsidR="00F34942" w:rsidRPr="00A75E02">
        <w:rPr>
          <w:rFonts w:ascii="Times New Roman" w:hAnsi="Times New Roman"/>
          <w:sz w:val="24"/>
          <w:szCs w:val="24"/>
        </w:rPr>
        <w:t>g</w:t>
      </w:r>
      <w:r w:rsidR="00B62CFB" w:rsidRPr="00A75E02">
        <w:rPr>
          <w:rFonts w:ascii="Times New Roman" w:hAnsi="Times New Roman"/>
          <w:sz w:val="24"/>
          <w:szCs w:val="24"/>
        </w:rPr>
        <w:t xml:space="preserve">rave or </w:t>
      </w:r>
      <w:r w:rsidR="00F34942" w:rsidRPr="00A75E02">
        <w:rPr>
          <w:rFonts w:ascii="Times New Roman" w:hAnsi="Times New Roman"/>
          <w:sz w:val="24"/>
          <w:szCs w:val="24"/>
        </w:rPr>
        <w:t>a</w:t>
      </w:r>
      <w:r w:rsidR="00B62CFB" w:rsidRPr="00A75E02">
        <w:rPr>
          <w:rFonts w:ascii="Times New Roman" w:hAnsi="Times New Roman"/>
          <w:sz w:val="24"/>
          <w:szCs w:val="24"/>
        </w:rPr>
        <w:t xml:space="preserve">nother </w:t>
      </w:r>
      <w:r w:rsidR="00F34942" w:rsidRPr="00A75E02">
        <w:rPr>
          <w:rFonts w:ascii="Times New Roman" w:hAnsi="Times New Roman"/>
          <w:sz w:val="24"/>
          <w:szCs w:val="24"/>
        </w:rPr>
        <w:t>p</w:t>
      </w:r>
      <w:r w:rsidR="00B62CFB" w:rsidRPr="00A75E02">
        <w:rPr>
          <w:rFonts w:ascii="Times New Roman" w:hAnsi="Times New Roman"/>
          <w:sz w:val="24"/>
          <w:szCs w:val="24"/>
        </w:rPr>
        <w:t xml:space="preserve">lace of </w:t>
      </w:r>
      <w:r w:rsidR="00F34942" w:rsidRPr="00A75E02">
        <w:rPr>
          <w:rFonts w:ascii="Times New Roman" w:hAnsi="Times New Roman"/>
          <w:sz w:val="24"/>
          <w:szCs w:val="24"/>
        </w:rPr>
        <w:t>p</w:t>
      </w:r>
      <w:r w:rsidR="00B62CFB" w:rsidRPr="00A75E02">
        <w:rPr>
          <w:rFonts w:ascii="Times New Roman" w:hAnsi="Times New Roman"/>
          <w:sz w:val="24"/>
          <w:szCs w:val="24"/>
        </w:rPr>
        <w:t xml:space="preserve">ublic </w:t>
      </w:r>
      <w:r w:rsidR="00F34942" w:rsidRPr="00A75E02">
        <w:rPr>
          <w:rFonts w:ascii="Times New Roman" w:hAnsi="Times New Roman"/>
          <w:sz w:val="24"/>
          <w:szCs w:val="24"/>
        </w:rPr>
        <w:t>r</w:t>
      </w:r>
      <w:r w:rsidR="00B62CFB" w:rsidRPr="00A75E02">
        <w:rPr>
          <w:rFonts w:ascii="Times New Roman" w:hAnsi="Times New Roman"/>
          <w:sz w:val="24"/>
          <w:szCs w:val="24"/>
        </w:rPr>
        <w:t>espect) of the CC without disaggregating hate crimes by qualifying elements.</w:t>
      </w:r>
      <w:proofErr w:type="gramEnd"/>
      <w:r w:rsidR="00B62CFB" w:rsidRPr="00A75E02">
        <w:rPr>
          <w:rFonts w:ascii="Times New Roman" w:hAnsi="Times New Roman"/>
          <w:sz w:val="24"/>
          <w:szCs w:val="24"/>
        </w:rPr>
        <w:t xml:space="preserve"> For this </w:t>
      </w:r>
      <w:proofErr w:type="gramStart"/>
      <w:r w:rsidR="00B62CFB" w:rsidRPr="00A75E02">
        <w:rPr>
          <w:rFonts w:ascii="Times New Roman" w:hAnsi="Times New Roman"/>
          <w:sz w:val="24"/>
          <w:szCs w:val="24"/>
        </w:rPr>
        <w:t>reason</w:t>
      </w:r>
      <w:proofErr w:type="gramEnd"/>
      <w:r w:rsidR="00B62CFB" w:rsidRPr="00A75E02">
        <w:rPr>
          <w:rFonts w:ascii="Times New Roman" w:hAnsi="Times New Roman"/>
          <w:sz w:val="24"/>
          <w:szCs w:val="24"/>
        </w:rPr>
        <w:t xml:space="preserve"> we are unable to present data on criminal offences specified in Article 129 (Murder), Article 135 (Severe </w:t>
      </w:r>
      <w:r w:rsidR="00332125" w:rsidRPr="00A75E02">
        <w:rPr>
          <w:rFonts w:ascii="Times New Roman" w:hAnsi="Times New Roman"/>
          <w:sz w:val="24"/>
          <w:szCs w:val="24"/>
        </w:rPr>
        <w:t>h</w:t>
      </w:r>
      <w:r w:rsidR="00B62CFB" w:rsidRPr="00A75E02">
        <w:rPr>
          <w:rFonts w:ascii="Times New Roman" w:hAnsi="Times New Roman"/>
          <w:sz w:val="24"/>
          <w:szCs w:val="24"/>
        </w:rPr>
        <w:t xml:space="preserve">ealth </w:t>
      </w:r>
      <w:r w:rsidR="00332125" w:rsidRPr="00A75E02">
        <w:rPr>
          <w:rFonts w:ascii="Times New Roman" w:hAnsi="Times New Roman"/>
          <w:sz w:val="24"/>
          <w:szCs w:val="24"/>
        </w:rPr>
        <w:t>i</w:t>
      </w:r>
      <w:r w:rsidR="00B62CFB" w:rsidRPr="00A75E02">
        <w:rPr>
          <w:rFonts w:ascii="Times New Roman" w:hAnsi="Times New Roman"/>
          <w:sz w:val="24"/>
          <w:szCs w:val="24"/>
        </w:rPr>
        <w:t>mpairment) and Article 138 (Non-</w:t>
      </w:r>
      <w:r w:rsidR="00332125" w:rsidRPr="00A75E02">
        <w:rPr>
          <w:rFonts w:ascii="Times New Roman" w:hAnsi="Times New Roman"/>
          <w:sz w:val="24"/>
          <w:szCs w:val="24"/>
        </w:rPr>
        <w:t>s</w:t>
      </w:r>
      <w:r w:rsidR="00B62CFB" w:rsidRPr="00A75E02">
        <w:rPr>
          <w:rFonts w:ascii="Times New Roman" w:hAnsi="Times New Roman"/>
          <w:sz w:val="24"/>
          <w:szCs w:val="24"/>
        </w:rPr>
        <w:t xml:space="preserve">evere </w:t>
      </w:r>
      <w:r w:rsidR="00332125" w:rsidRPr="00A75E02">
        <w:rPr>
          <w:rFonts w:ascii="Times New Roman" w:hAnsi="Times New Roman"/>
          <w:sz w:val="24"/>
          <w:szCs w:val="24"/>
        </w:rPr>
        <w:t>h</w:t>
      </w:r>
      <w:r w:rsidR="00B62CFB" w:rsidRPr="00A75E02">
        <w:rPr>
          <w:rFonts w:ascii="Times New Roman" w:hAnsi="Times New Roman"/>
          <w:sz w:val="24"/>
          <w:szCs w:val="24"/>
        </w:rPr>
        <w:t xml:space="preserve">ealth </w:t>
      </w:r>
      <w:r w:rsidR="00332125" w:rsidRPr="00A75E02">
        <w:rPr>
          <w:rFonts w:ascii="Times New Roman" w:hAnsi="Times New Roman"/>
          <w:sz w:val="24"/>
          <w:szCs w:val="24"/>
        </w:rPr>
        <w:t>i</w:t>
      </w:r>
      <w:r w:rsidR="00B62CFB" w:rsidRPr="00A75E02">
        <w:rPr>
          <w:rFonts w:ascii="Times New Roman" w:hAnsi="Times New Roman"/>
          <w:sz w:val="24"/>
          <w:szCs w:val="24"/>
        </w:rPr>
        <w:t>mpairment) that may contain the elements of hate crime. Following the improvement of</w:t>
      </w:r>
      <w:r w:rsidR="00B136EB">
        <w:rPr>
          <w:rFonts w:ascii="Times New Roman" w:hAnsi="Times New Roman"/>
          <w:sz w:val="24"/>
          <w:szCs w:val="24"/>
        </w:rPr>
        <w:t xml:space="preserve"> operational system of</w:t>
      </w:r>
      <w:r w:rsidR="00B62CFB" w:rsidRPr="00A75E02">
        <w:rPr>
          <w:rFonts w:ascii="Times New Roman" w:hAnsi="Times New Roman"/>
          <w:sz w:val="24"/>
          <w:szCs w:val="24"/>
        </w:rPr>
        <w:t xml:space="preserve"> LITEKO</w:t>
      </w:r>
      <w:r w:rsidR="00B136EB">
        <w:rPr>
          <w:rFonts w:ascii="Times New Roman" w:hAnsi="Times New Roman"/>
          <w:sz w:val="24"/>
          <w:szCs w:val="24"/>
        </w:rPr>
        <w:t xml:space="preserve"> from 2017, it provided possibility to collect</w:t>
      </w:r>
      <w:r w:rsidR="00B62CFB" w:rsidRPr="00A75E02">
        <w:rPr>
          <w:rFonts w:ascii="Times New Roman" w:hAnsi="Times New Roman"/>
          <w:sz w:val="24"/>
          <w:szCs w:val="24"/>
        </w:rPr>
        <w:t xml:space="preserve"> more detaile</w:t>
      </w:r>
      <w:r w:rsidR="00B136EB">
        <w:rPr>
          <w:rFonts w:ascii="Times New Roman" w:hAnsi="Times New Roman"/>
          <w:sz w:val="24"/>
          <w:szCs w:val="24"/>
        </w:rPr>
        <w:t>d data of the above-mentioned cases</w:t>
      </w:r>
      <w:r w:rsidR="00B62CFB" w:rsidRPr="00A75E02">
        <w:rPr>
          <w:rFonts w:ascii="Times New Roman" w:hAnsi="Times New Roman"/>
          <w:sz w:val="24"/>
          <w:szCs w:val="24"/>
        </w:rPr>
        <w:t xml:space="preserve"> as well as data on criminal offences specified in Article 170</w:t>
      </w:r>
      <w:r w:rsidR="00B62CFB" w:rsidRPr="00A75E02">
        <w:rPr>
          <w:rFonts w:ascii="Times New Roman" w:hAnsi="Times New Roman"/>
          <w:sz w:val="24"/>
          <w:szCs w:val="24"/>
          <w:vertAlign w:val="superscript"/>
        </w:rPr>
        <w:t xml:space="preserve">1 </w:t>
      </w:r>
      <w:r w:rsidR="00B62CFB" w:rsidRPr="00A75E02">
        <w:rPr>
          <w:rFonts w:ascii="Times New Roman" w:hAnsi="Times New Roman"/>
          <w:sz w:val="24"/>
          <w:szCs w:val="24"/>
        </w:rPr>
        <w:t xml:space="preserve">(Creation and </w:t>
      </w:r>
      <w:r w:rsidR="002E1D2D" w:rsidRPr="00A75E02">
        <w:rPr>
          <w:rFonts w:ascii="Times New Roman" w:hAnsi="Times New Roman"/>
          <w:sz w:val="24"/>
          <w:szCs w:val="24"/>
        </w:rPr>
        <w:t>a</w:t>
      </w:r>
      <w:r w:rsidR="00B62CFB" w:rsidRPr="00A75E02">
        <w:rPr>
          <w:rFonts w:ascii="Times New Roman" w:hAnsi="Times New Roman"/>
          <w:sz w:val="24"/>
          <w:szCs w:val="24"/>
        </w:rPr>
        <w:t xml:space="preserve">ctivities of the </w:t>
      </w:r>
      <w:r w:rsidR="002E1D2D" w:rsidRPr="00A75E02">
        <w:rPr>
          <w:rFonts w:ascii="Times New Roman" w:hAnsi="Times New Roman"/>
          <w:sz w:val="24"/>
          <w:szCs w:val="24"/>
        </w:rPr>
        <w:t>g</w:t>
      </w:r>
      <w:r w:rsidR="00B62CFB" w:rsidRPr="00A75E02">
        <w:rPr>
          <w:rFonts w:ascii="Times New Roman" w:hAnsi="Times New Roman"/>
          <w:sz w:val="24"/>
          <w:szCs w:val="24"/>
        </w:rPr>
        <w:t xml:space="preserve">roups and </w:t>
      </w:r>
      <w:r w:rsidR="002E1D2D" w:rsidRPr="00A75E02">
        <w:rPr>
          <w:rFonts w:ascii="Times New Roman" w:hAnsi="Times New Roman"/>
          <w:sz w:val="24"/>
          <w:szCs w:val="24"/>
        </w:rPr>
        <w:t>o</w:t>
      </w:r>
      <w:r w:rsidR="00B62CFB" w:rsidRPr="00A75E02">
        <w:rPr>
          <w:rFonts w:ascii="Times New Roman" w:hAnsi="Times New Roman"/>
          <w:sz w:val="24"/>
          <w:szCs w:val="24"/>
        </w:rPr>
        <w:t xml:space="preserve">rganisations </w:t>
      </w:r>
      <w:r w:rsidR="002E1D2D" w:rsidRPr="00A75E02">
        <w:rPr>
          <w:rFonts w:ascii="Times New Roman" w:hAnsi="Times New Roman"/>
          <w:sz w:val="24"/>
          <w:szCs w:val="24"/>
        </w:rPr>
        <w:t>a</w:t>
      </w:r>
      <w:r w:rsidR="00B62CFB" w:rsidRPr="00A75E02">
        <w:rPr>
          <w:rFonts w:ascii="Times New Roman" w:hAnsi="Times New Roman"/>
          <w:sz w:val="24"/>
          <w:szCs w:val="24"/>
        </w:rPr>
        <w:t xml:space="preserve">iming at </w:t>
      </w:r>
      <w:r w:rsidR="002E1D2D" w:rsidRPr="00A75E02">
        <w:rPr>
          <w:rFonts w:ascii="Times New Roman" w:hAnsi="Times New Roman"/>
          <w:sz w:val="24"/>
          <w:szCs w:val="24"/>
        </w:rPr>
        <w:t>d</w:t>
      </w:r>
      <w:r w:rsidR="00B62CFB" w:rsidRPr="00A75E02">
        <w:rPr>
          <w:rFonts w:ascii="Times New Roman" w:hAnsi="Times New Roman"/>
          <w:sz w:val="24"/>
          <w:szCs w:val="24"/>
        </w:rPr>
        <w:t xml:space="preserve">iscriminating a </w:t>
      </w:r>
      <w:r w:rsidR="002E1D2D" w:rsidRPr="00A75E02">
        <w:rPr>
          <w:rFonts w:ascii="Times New Roman" w:hAnsi="Times New Roman"/>
          <w:sz w:val="24"/>
          <w:szCs w:val="24"/>
        </w:rPr>
        <w:t>g</w:t>
      </w:r>
      <w:r w:rsidR="00B62CFB" w:rsidRPr="00A75E02">
        <w:rPr>
          <w:rFonts w:ascii="Times New Roman" w:hAnsi="Times New Roman"/>
          <w:sz w:val="24"/>
          <w:szCs w:val="24"/>
        </w:rPr>
        <w:t xml:space="preserve">roup of </w:t>
      </w:r>
      <w:r w:rsidR="002E1D2D" w:rsidRPr="00A75E02">
        <w:rPr>
          <w:rFonts w:ascii="Times New Roman" w:hAnsi="Times New Roman"/>
          <w:sz w:val="24"/>
          <w:szCs w:val="24"/>
        </w:rPr>
        <w:t>p</w:t>
      </w:r>
      <w:r w:rsidR="00B62CFB" w:rsidRPr="00A75E02">
        <w:rPr>
          <w:rFonts w:ascii="Times New Roman" w:hAnsi="Times New Roman"/>
          <w:sz w:val="24"/>
          <w:szCs w:val="24"/>
        </w:rPr>
        <w:t xml:space="preserve">ersons or </w:t>
      </w:r>
      <w:r w:rsidR="002E1D2D" w:rsidRPr="00A75E02">
        <w:rPr>
          <w:rFonts w:ascii="Times New Roman" w:hAnsi="Times New Roman"/>
          <w:sz w:val="24"/>
          <w:szCs w:val="24"/>
        </w:rPr>
        <w:t>i</w:t>
      </w:r>
      <w:r w:rsidR="00B62CFB" w:rsidRPr="00A75E02">
        <w:rPr>
          <w:rFonts w:ascii="Times New Roman" w:hAnsi="Times New Roman"/>
          <w:sz w:val="24"/>
          <w:szCs w:val="24"/>
        </w:rPr>
        <w:t xml:space="preserve">nciting against </w:t>
      </w:r>
      <w:r w:rsidR="002E1D2D" w:rsidRPr="00A75E02">
        <w:rPr>
          <w:rFonts w:ascii="Times New Roman" w:hAnsi="Times New Roman"/>
          <w:sz w:val="24"/>
          <w:szCs w:val="24"/>
        </w:rPr>
        <w:t>i</w:t>
      </w:r>
      <w:r w:rsidR="00B62CFB" w:rsidRPr="00A75E02">
        <w:rPr>
          <w:rFonts w:ascii="Times New Roman" w:hAnsi="Times New Roman"/>
          <w:sz w:val="24"/>
          <w:szCs w:val="24"/>
        </w:rPr>
        <w:t xml:space="preserve">t) of </w:t>
      </w:r>
      <w:r w:rsidR="00D46559" w:rsidRPr="00A75E02">
        <w:rPr>
          <w:rFonts w:ascii="Times New Roman" w:hAnsi="Times New Roman"/>
          <w:sz w:val="24"/>
          <w:szCs w:val="24"/>
        </w:rPr>
        <w:t xml:space="preserve">the </w:t>
      </w:r>
      <w:r w:rsidR="00B62CFB" w:rsidRPr="00A75E02">
        <w:rPr>
          <w:rFonts w:ascii="Times New Roman" w:hAnsi="Times New Roman"/>
          <w:sz w:val="24"/>
          <w:szCs w:val="24"/>
        </w:rPr>
        <w:t xml:space="preserve">CC. In order to </w:t>
      </w:r>
      <w:r w:rsidR="002E1D2D" w:rsidRPr="00A75E02">
        <w:rPr>
          <w:rFonts w:ascii="Times New Roman" w:hAnsi="Times New Roman"/>
          <w:sz w:val="24"/>
          <w:szCs w:val="24"/>
        </w:rPr>
        <w:t>evaluate</w:t>
      </w:r>
      <w:r w:rsidR="00B62CFB" w:rsidRPr="00A75E02">
        <w:rPr>
          <w:rFonts w:ascii="Times New Roman" w:hAnsi="Times New Roman"/>
          <w:sz w:val="24"/>
          <w:szCs w:val="24"/>
        </w:rPr>
        <w:t xml:space="preserve"> the instances of discrimination in the context of the Convention on the Elimination of all </w:t>
      </w:r>
      <w:r w:rsidR="00D80A45" w:rsidRPr="00A75E02">
        <w:rPr>
          <w:rFonts w:ascii="Times New Roman" w:hAnsi="Times New Roman"/>
          <w:sz w:val="24"/>
          <w:szCs w:val="24"/>
        </w:rPr>
        <w:t>F</w:t>
      </w:r>
      <w:r w:rsidR="00B62CFB" w:rsidRPr="00A75E02">
        <w:rPr>
          <w:rFonts w:ascii="Times New Roman" w:hAnsi="Times New Roman"/>
          <w:sz w:val="24"/>
          <w:szCs w:val="24"/>
        </w:rPr>
        <w:t xml:space="preserve">orms of Racial Discrimination, part of information (in cases the number of which is not very high) </w:t>
      </w:r>
      <w:proofErr w:type="gramStart"/>
      <w:r w:rsidR="00B62CFB" w:rsidRPr="00A75E02">
        <w:rPr>
          <w:rFonts w:ascii="Times New Roman" w:hAnsi="Times New Roman"/>
          <w:sz w:val="24"/>
          <w:szCs w:val="24"/>
        </w:rPr>
        <w:t>was checked</w:t>
      </w:r>
      <w:proofErr w:type="gramEnd"/>
      <w:r w:rsidR="00B62CFB" w:rsidRPr="00A75E02">
        <w:rPr>
          <w:rFonts w:ascii="Times New Roman" w:hAnsi="Times New Roman"/>
          <w:sz w:val="24"/>
          <w:szCs w:val="24"/>
        </w:rPr>
        <w:t xml:space="preserve"> in a non-automated way.</w:t>
      </w:r>
    </w:p>
    <w:p w14:paraId="42C68D80" w14:textId="397B5487" w:rsidR="00B62CFB" w:rsidRPr="00A75E02" w:rsidRDefault="009457CD" w:rsidP="00B62CFB">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40</w:t>
      </w:r>
      <w:r w:rsidR="00B62CFB" w:rsidRPr="00A75E02">
        <w:rPr>
          <w:rFonts w:ascii="Times New Roman" w:hAnsi="Times New Roman"/>
          <w:sz w:val="24"/>
          <w:szCs w:val="24"/>
        </w:rPr>
        <w:t>. Statistics on criminal cases completed in the courts of first instance from 2014 to 1</w:t>
      </w:r>
      <w:r w:rsidR="00B62CFB" w:rsidRPr="00A75E02">
        <w:rPr>
          <w:rFonts w:ascii="Times New Roman" w:hAnsi="Times New Roman"/>
          <w:sz w:val="24"/>
          <w:szCs w:val="24"/>
          <w:vertAlign w:val="superscript"/>
        </w:rPr>
        <w:t>st</w:t>
      </w:r>
      <w:r w:rsidR="00B62CFB" w:rsidRPr="00A75E02">
        <w:rPr>
          <w:rFonts w:ascii="Times New Roman" w:hAnsi="Times New Roman"/>
          <w:sz w:val="24"/>
          <w:szCs w:val="24"/>
        </w:rPr>
        <w:t xml:space="preserve"> quarter of 2017</w:t>
      </w:r>
    </w:p>
    <w:tbl>
      <w:tblPr>
        <w:tblStyle w:val="TableGrid"/>
        <w:tblW w:w="0" w:type="auto"/>
        <w:tblInd w:w="-5" w:type="dxa"/>
        <w:tblLook w:val="04A0" w:firstRow="1" w:lastRow="0" w:firstColumn="1" w:lastColumn="0" w:noHBand="0" w:noVBand="1"/>
      </w:tblPr>
      <w:tblGrid>
        <w:gridCol w:w="1843"/>
        <w:gridCol w:w="1560"/>
        <w:gridCol w:w="1559"/>
        <w:gridCol w:w="1701"/>
        <w:gridCol w:w="1985"/>
      </w:tblGrid>
      <w:tr w:rsidR="00B62CFB" w:rsidRPr="00A75E02" w14:paraId="76AC6D72" w14:textId="77777777" w:rsidTr="00C66DC7">
        <w:trPr>
          <w:trHeight w:val="413"/>
        </w:trPr>
        <w:tc>
          <w:tcPr>
            <w:tcW w:w="1843" w:type="dxa"/>
            <w:tcBorders>
              <w:top w:val="single" w:sz="4" w:space="0" w:color="auto"/>
              <w:left w:val="single" w:sz="4" w:space="0" w:color="auto"/>
              <w:bottom w:val="single" w:sz="4" w:space="0" w:color="auto"/>
              <w:right w:val="single" w:sz="4" w:space="0" w:color="auto"/>
            </w:tcBorders>
            <w:hideMark/>
          </w:tcPr>
          <w:p w14:paraId="562F33A0" w14:textId="77777777" w:rsidR="00B62CFB" w:rsidRPr="00A75E02" w:rsidRDefault="00B62CFB" w:rsidP="00C66DC7">
            <w:pPr>
              <w:spacing w:before="100" w:beforeAutospacing="1" w:after="100" w:afterAutospacing="1" w:line="240" w:lineRule="auto"/>
              <w:jc w:val="both"/>
              <w:rPr>
                <w:rFonts w:ascii="Times New Roman" w:hAnsi="Times New Roman" w:cs="Times New Roman"/>
                <w:b/>
                <w:sz w:val="24"/>
                <w:szCs w:val="24"/>
              </w:rPr>
            </w:pPr>
            <w:r w:rsidRPr="00A75E02">
              <w:rPr>
                <w:rFonts w:ascii="Times New Roman" w:hAnsi="Times New Roman"/>
                <w:b/>
                <w:sz w:val="24"/>
                <w:szCs w:val="24"/>
              </w:rPr>
              <w:t xml:space="preserve">Articles of </w:t>
            </w:r>
            <w:r w:rsidR="00D46559" w:rsidRPr="00A75E02">
              <w:rPr>
                <w:rFonts w:ascii="Times New Roman" w:hAnsi="Times New Roman"/>
                <w:b/>
                <w:sz w:val="24"/>
                <w:szCs w:val="24"/>
              </w:rPr>
              <w:t xml:space="preserve">the </w:t>
            </w:r>
            <w:r w:rsidRPr="00A75E02">
              <w:rPr>
                <w:rFonts w:ascii="Times New Roman" w:hAnsi="Times New Roman"/>
                <w:b/>
                <w:sz w:val="24"/>
                <w:szCs w:val="24"/>
              </w:rPr>
              <w:t>CC</w:t>
            </w:r>
          </w:p>
        </w:tc>
        <w:tc>
          <w:tcPr>
            <w:tcW w:w="1560" w:type="dxa"/>
            <w:tcBorders>
              <w:top w:val="single" w:sz="4" w:space="0" w:color="auto"/>
              <w:left w:val="single" w:sz="4" w:space="0" w:color="auto"/>
              <w:bottom w:val="single" w:sz="4" w:space="0" w:color="auto"/>
              <w:right w:val="single" w:sz="4" w:space="0" w:color="auto"/>
            </w:tcBorders>
            <w:hideMark/>
          </w:tcPr>
          <w:p w14:paraId="6BDC6FF1" w14:textId="77777777" w:rsidR="00B62CFB" w:rsidRPr="00A75E02" w:rsidRDefault="00B62CFB" w:rsidP="00C66DC7">
            <w:pPr>
              <w:spacing w:before="100" w:beforeAutospacing="1" w:after="100" w:afterAutospacing="1" w:line="240" w:lineRule="auto"/>
              <w:jc w:val="both"/>
              <w:rPr>
                <w:rFonts w:ascii="Times New Roman" w:hAnsi="Times New Roman" w:cs="Times New Roman"/>
                <w:b/>
                <w:sz w:val="24"/>
                <w:szCs w:val="24"/>
              </w:rPr>
            </w:pPr>
            <w:r w:rsidRPr="00A75E02">
              <w:rPr>
                <w:rFonts w:ascii="Times New Roman" w:hAnsi="Times New Roman"/>
                <w:b/>
                <w:sz w:val="24"/>
                <w:szCs w:val="24"/>
              </w:rPr>
              <w:t>2014</w:t>
            </w:r>
          </w:p>
        </w:tc>
        <w:tc>
          <w:tcPr>
            <w:tcW w:w="1559" w:type="dxa"/>
            <w:tcBorders>
              <w:top w:val="single" w:sz="4" w:space="0" w:color="auto"/>
              <w:left w:val="single" w:sz="4" w:space="0" w:color="auto"/>
              <w:bottom w:val="single" w:sz="4" w:space="0" w:color="auto"/>
              <w:right w:val="single" w:sz="4" w:space="0" w:color="auto"/>
            </w:tcBorders>
            <w:hideMark/>
          </w:tcPr>
          <w:p w14:paraId="02BF6332" w14:textId="77777777" w:rsidR="00B62CFB" w:rsidRPr="00A75E02" w:rsidRDefault="00B62CFB" w:rsidP="00C66DC7">
            <w:pPr>
              <w:spacing w:before="100" w:beforeAutospacing="1" w:after="100" w:afterAutospacing="1" w:line="240" w:lineRule="auto"/>
              <w:jc w:val="both"/>
              <w:rPr>
                <w:rFonts w:ascii="Times New Roman" w:hAnsi="Times New Roman" w:cs="Times New Roman"/>
                <w:b/>
                <w:sz w:val="24"/>
                <w:szCs w:val="24"/>
              </w:rPr>
            </w:pPr>
            <w:r w:rsidRPr="00A75E02">
              <w:rPr>
                <w:rFonts w:ascii="Times New Roman" w:hAnsi="Times New Roman"/>
                <w:b/>
                <w:sz w:val="24"/>
                <w:szCs w:val="24"/>
              </w:rPr>
              <w:t>2015</w:t>
            </w:r>
          </w:p>
        </w:tc>
        <w:tc>
          <w:tcPr>
            <w:tcW w:w="1701" w:type="dxa"/>
            <w:tcBorders>
              <w:top w:val="single" w:sz="4" w:space="0" w:color="auto"/>
              <w:left w:val="single" w:sz="4" w:space="0" w:color="auto"/>
              <w:bottom w:val="single" w:sz="4" w:space="0" w:color="auto"/>
              <w:right w:val="single" w:sz="4" w:space="0" w:color="auto"/>
            </w:tcBorders>
            <w:hideMark/>
          </w:tcPr>
          <w:p w14:paraId="034D2559" w14:textId="77777777" w:rsidR="00B62CFB" w:rsidRPr="00A75E02" w:rsidRDefault="00B62CFB" w:rsidP="00C66DC7">
            <w:pPr>
              <w:spacing w:before="100" w:beforeAutospacing="1" w:after="100" w:afterAutospacing="1" w:line="240" w:lineRule="auto"/>
              <w:jc w:val="both"/>
              <w:rPr>
                <w:rFonts w:ascii="Times New Roman" w:hAnsi="Times New Roman" w:cs="Times New Roman"/>
                <w:b/>
                <w:sz w:val="24"/>
                <w:szCs w:val="24"/>
              </w:rPr>
            </w:pPr>
            <w:r w:rsidRPr="00A75E02">
              <w:rPr>
                <w:rFonts w:ascii="Times New Roman" w:hAnsi="Times New Roman"/>
                <w:b/>
                <w:sz w:val="24"/>
                <w:szCs w:val="24"/>
              </w:rPr>
              <w:t>2016</w:t>
            </w:r>
          </w:p>
        </w:tc>
        <w:tc>
          <w:tcPr>
            <w:tcW w:w="1985" w:type="dxa"/>
            <w:tcBorders>
              <w:top w:val="single" w:sz="4" w:space="0" w:color="auto"/>
              <w:left w:val="single" w:sz="4" w:space="0" w:color="auto"/>
              <w:bottom w:val="single" w:sz="4" w:space="0" w:color="auto"/>
              <w:right w:val="single" w:sz="4" w:space="0" w:color="auto"/>
            </w:tcBorders>
            <w:hideMark/>
          </w:tcPr>
          <w:p w14:paraId="419E72F1" w14:textId="77777777" w:rsidR="00B62CFB" w:rsidRPr="00A75E02" w:rsidRDefault="00B62CFB" w:rsidP="00C66DC7">
            <w:pPr>
              <w:spacing w:before="100" w:beforeAutospacing="1" w:after="100" w:afterAutospacing="1" w:line="240" w:lineRule="auto"/>
              <w:jc w:val="both"/>
              <w:rPr>
                <w:rFonts w:ascii="Times New Roman" w:hAnsi="Times New Roman" w:cs="Times New Roman"/>
                <w:b/>
                <w:sz w:val="24"/>
                <w:szCs w:val="24"/>
              </w:rPr>
            </w:pPr>
            <w:r w:rsidRPr="00A75E02">
              <w:rPr>
                <w:rFonts w:ascii="Times New Roman" w:hAnsi="Times New Roman"/>
                <w:b/>
                <w:sz w:val="24"/>
                <w:szCs w:val="24"/>
              </w:rPr>
              <w:t>1</w:t>
            </w:r>
            <w:r w:rsidRPr="00A75E02">
              <w:rPr>
                <w:rFonts w:ascii="Times New Roman" w:hAnsi="Times New Roman"/>
                <w:b/>
                <w:sz w:val="24"/>
                <w:szCs w:val="24"/>
                <w:vertAlign w:val="superscript"/>
              </w:rPr>
              <w:t>st</w:t>
            </w:r>
            <w:r w:rsidRPr="00A75E02">
              <w:rPr>
                <w:rFonts w:ascii="Times New Roman" w:hAnsi="Times New Roman"/>
                <w:b/>
                <w:sz w:val="24"/>
                <w:szCs w:val="24"/>
              </w:rPr>
              <w:t xml:space="preserve"> quarter of 2017</w:t>
            </w:r>
          </w:p>
        </w:tc>
      </w:tr>
      <w:tr w:rsidR="00B62CFB" w:rsidRPr="00A75E02" w14:paraId="642702B1" w14:textId="77777777" w:rsidTr="00C66DC7">
        <w:tc>
          <w:tcPr>
            <w:tcW w:w="1843" w:type="dxa"/>
            <w:tcBorders>
              <w:top w:val="single" w:sz="4" w:space="0" w:color="auto"/>
              <w:left w:val="single" w:sz="4" w:space="0" w:color="auto"/>
              <w:bottom w:val="single" w:sz="4" w:space="0" w:color="auto"/>
              <w:right w:val="single" w:sz="4" w:space="0" w:color="auto"/>
            </w:tcBorders>
            <w:hideMark/>
          </w:tcPr>
          <w:p w14:paraId="4FEFA82C"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Article 169</w:t>
            </w:r>
          </w:p>
        </w:tc>
        <w:tc>
          <w:tcPr>
            <w:tcW w:w="1560" w:type="dxa"/>
            <w:tcBorders>
              <w:top w:val="single" w:sz="4" w:space="0" w:color="auto"/>
              <w:left w:val="single" w:sz="4" w:space="0" w:color="auto"/>
              <w:bottom w:val="single" w:sz="4" w:space="0" w:color="auto"/>
              <w:right w:val="single" w:sz="4" w:space="0" w:color="auto"/>
            </w:tcBorders>
            <w:hideMark/>
          </w:tcPr>
          <w:p w14:paraId="38138045"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1 </w:t>
            </w:r>
          </w:p>
        </w:tc>
        <w:tc>
          <w:tcPr>
            <w:tcW w:w="1559" w:type="dxa"/>
            <w:tcBorders>
              <w:top w:val="single" w:sz="4" w:space="0" w:color="auto"/>
              <w:left w:val="single" w:sz="4" w:space="0" w:color="auto"/>
              <w:bottom w:val="single" w:sz="4" w:space="0" w:color="auto"/>
              <w:right w:val="single" w:sz="4" w:space="0" w:color="auto"/>
            </w:tcBorders>
            <w:hideMark/>
          </w:tcPr>
          <w:p w14:paraId="5F2C9A33"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1 </w:t>
            </w:r>
          </w:p>
        </w:tc>
        <w:tc>
          <w:tcPr>
            <w:tcW w:w="1701" w:type="dxa"/>
            <w:tcBorders>
              <w:top w:val="single" w:sz="4" w:space="0" w:color="auto"/>
              <w:left w:val="single" w:sz="4" w:space="0" w:color="auto"/>
              <w:bottom w:val="single" w:sz="4" w:space="0" w:color="auto"/>
              <w:right w:val="single" w:sz="4" w:space="0" w:color="auto"/>
            </w:tcBorders>
            <w:hideMark/>
          </w:tcPr>
          <w:p w14:paraId="4D248D23"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hideMark/>
          </w:tcPr>
          <w:p w14:paraId="0E47662A"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0</w:t>
            </w:r>
          </w:p>
        </w:tc>
      </w:tr>
      <w:tr w:rsidR="00B62CFB" w:rsidRPr="00A75E02" w14:paraId="2ECB71E9" w14:textId="77777777" w:rsidTr="00C66DC7">
        <w:tc>
          <w:tcPr>
            <w:tcW w:w="1843" w:type="dxa"/>
            <w:tcBorders>
              <w:top w:val="single" w:sz="4" w:space="0" w:color="auto"/>
              <w:left w:val="single" w:sz="4" w:space="0" w:color="auto"/>
              <w:bottom w:val="single" w:sz="4" w:space="0" w:color="auto"/>
              <w:right w:val="single" w:sz="4" w:space="0" w:color="auto"/>
            </w:tcBorders>
            <w:hideMark/>
          </w:tcPr>
          <w:p w14:paraId="479F2B4C"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Article 170</w:t>
            </w:r>
          </w:p>
        </w:tc>
        <w:tc>
          <w:tcPr>
            <w:tcW w:w="1560" w:type="dxa"/>
            <w:tcBorders>
              <w:top w:val="single" w:sz="4" w:space="0" w:color="auto"/>
              <w:left w:val="single" w:sz="4" w:space="0" w:color="auto"/>
              <w:bottom w:val="single" w:sz="4" w:space="0" w:color="auto"/>
              <w:right w:val="single" w:sz="4" w:space="0" w:color="auto"/>
            </w:tcBorders>
            <w:hideMark/>
          </w:tcPr>
          <w:p w14:paraId="404CEB22"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37</w:t>
            </w:r>
          </w:p>
        </w:tc>
        <w:tc>
          <w:tcPr>
            <w:tcW w:w="1559" w:type="dxa"/>
            <w:tcBorders>
              <w:top w:val="single" w:sz="4" w:space="0" w:color="auto"/>
              <w:left w:val="single" w:sz="4" w:space="0" w:color="auto"/>
              <w:bottom w:val="single" w:sz="4" w:space="0" w:color="auto"/>
              <w:right w:val="single" w:sz="4" w:space="0" w:color="auto"/>
            </w:tcBorders>
            <w:hideMark/>
          </w:tcPr>
          <w:p w14:paraId="61E56019"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14:paraId="37A49CBD"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17</w:t>
            </w:r>
          </w:p>
        </w:tc>
        <w:tc>
          <w:tcPr>
            <w:tcW w:w="1985" w:type="dxa"/>
            <w:tcBorders>
              <w:top w:val="single" w:sz="4" w:space="0" w:color="auto"/>
              <w:left w:val="single" w:sz="4" w:space="0" w:color="auto"/>
              <w:bottom w:val="single" w:sz="4" w:space="0" w:color="auto"/>
              <w:right w:val="single" w:sz="4" w:space="0" w:color="auto"/>
            </w:tcBorders>
            <w:hideMark/>
          </w:tcPr>
          <w:p w14:paraId="411DC997"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5</w:t>
            </w:r>
          </w:p>
        </w:tc>
      </w:tr>
      <w:tr w:rsidR="00B62CFB" w:rsidRPr="00A75E02" w14:paraId="4E05E427" w14:textId="77777777" w:rsidTr="00C66DC7">
        <w:tc>
          <w:tcPr>
            <w:tcW w:w="1843" w:type="dxa"/>
            <w:tcBorders>
              <w:top w:val="single" w:sz="4" w:space="0" w:color="auto"/>
              <w:left w:val="single" w:sz="4" w:space="0" w:color="auto"/>
              <w:bottom w:val="single" w:sz="4" w:space="0" w:color="auto"/>
              <w:right w:val="single" w:sz="4" w:space="0" w:color="auto"/>
            </w:tcBorders>
            <w:hideMark/>
          </w:tcPr>
          <w:p w14:paraId="4DDDB922"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Article 170</w:t>
            </w:r>
            <w:r w:rsidRPr="00A75E02">
              <w:rPr>
                <w:rFonts w:ascii="Times New Roman" w:hAnsi="Times New Roman"/>
                <w:sz w:val="24"/>
                <w:szCs w:val="24"/>
                <w:vertAlign w:val="superscript"/>
              </w:rPr>
              <w:t>1</w:t>
            </w:r>
          </w:p>
        </w:tc>
        <w:tc>
          <w:tcPr>
            <w:tcW w:w="1560" w:type="dxa"/>
            <w:tcBorders>
              <w:top w:val="single" w:sz="4" w:space="0" w:color="auto"/>
              <w:left w:val="single" w:sz="4" w:space="0" w:color="auto"/>
              <w:bottom w:val="single" w:sz="4" w:space="0" w:color="auto"/>
              <w:right w:val="single" w:sz="4" w:space="0" w:color="auto"/>
            </w:tcBorders>
            <w:hideMark/>
          </w:tcPr>
          <w:p w14:paraId="4E141DC0"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74C624C4"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707D611F"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1503CE16"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0</w:t>
            </w:r>
          </w:p>
        </w:tc>
      </w:tr>
      <w:tr w:rsidR="00B62CFB" w:rsidRPr="00A75E02" w14:paraId="4B117F3D" w14:textId="77777777" w:rsidTr="00C66DC7">
        <w:tc>
          <w:tcPr>
            <w:tcW w:w="1843" w:type="dxa"/>
            <w:tcBorders>
              <w:top w:val="single" w:sz="4" w:space="0" w:color="auto"/>
              <w:left w:val="single" w:sz="4" w:space="0" w:color="auto"/>
              <w:bottom w:val="single" w:sz="4" w:space="0" w:color="auto"/>
              <w:right w:val="single" w:sz="4" w:space="0" w:color="auto"/>
            </w:tcBorders>
            <w:hideMark/>
          </w:tcPr>
          <w:p w14:paraId="530E94EB"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Article 312(2) </w:t>
            </w:r>
          </w:p>
        </w:tc>
        <w:tc>
          <w:tcPr>
            <w:tcW w:w="1560" w:type="dxa"/>
            <w:tcBorders>
              <w:top w:val="single" w:sz="4" w:space="0" w:color="auto"/>
              <w:left w:val="single" w:sz="4" w:space="0" w:color="auto"/>
              <w:bottom w:val="single" w:sz="4" w:space="0" w:color="auto"/>
              <w:right w:val="single" w:sz="4" w:space="0" w:color="auto"/>
            </w:tcBorders>
            <w:hideMark/>
          </w:tcPr>
          <w:p w14:paraId="7173D2A9"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14:paraId="03658EB1"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2 </w:t>
            </w:r>
          </w:p>
        </w:tc>
        <w:tc>
          <w:tcPr>
            <w:tcW w:w="1701" w:type="dxa"/>
            <w:tcBorders>
              <w:top w:val="single" w:sz="4" w:space="0" w:color="auto"/>
              <w:left w:val="single" w:sz="4" w:space="0" w:color="auto"/>
              <w:bottom w:val="single" w:sz="4" w:space="0" w:color="auto"/>
              <w:right w:val="single" w:sz="4" w:space="0" w:color="auto"/>
            </w:tcBorders>
            <w:hideMark/>
          </w:tcPr>
          <w:p w14:paraId="6A1FC1FD"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hideMark/>
          </w:tcPr>
          <w:p w14:paraId="5F61EEC2"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0</w:t>
            </w:r>
          </w:p>
        </w:tc>
      </w:tr>
      <w:tr w:rsidR="00B62CFB" w:rsidRPr="00A75E02" w14:paraId="59127E0D" w14:textId="77777777" w:rsidTr="00C66DC7">
        <w:tc>
          <w:tcPr>
            <w:tcW w:w="1843" w:type="dxa"/>
            <w:tcBorders>
              <w:top w:val="single" w:sz="4" w:space="0" w:color="auto"/>
              <w:left w:val="single" w:sz="4" w:space="0" w:color="auto"/>
              <w:bottom w:val="single" w:sz="4" w:space="0" w:color="auto"/>
              <w:right w:val="single" w:sz="4" w:space="0" w:color="auto"/>
            </w:tcBorders>
            <w:hideMark/>
          </w:tcPr>
          <w:p w14:paraId="794B1D2D"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bCs/>
                <w:sz w:val="24"/>
                <w:szCs w:val="24"/>
              </w:rPr>
              <w:t xml:space="preserve">Article 129(2)(13) </w:t>
            </w:r>
          </w:p>
        </w:tc>
        <w:tc>
          <w:tcPr>
            <w:tcW w:w="1560" w:type="dxa"/>
            <w:tcBorders>
              <w:top w:val="single" w:sz="4" w:space="0" w:color="auto"/>
              <w:left w:val="single" w:sz="4" w:space="0" w:color="auto"/>
              <w:bottom w:val="single" w:sz="4" w:space="0" w:color="auto"/>
              <w:right w:val="single" w:sz="4" w:space="0" w:color="auto"/>
            </w:tcBorders>
            <w:hideMark/>
          </w:tcPr>
          <w:p w14:paraId="51AB3544"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30275D87"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713BC621"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1D2CC1C6"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0</w:t>
            </w:r>
          </w:p>
        </w:tc>
      </w:tr>
      <w:tr w:rsidR="00B62CFB" w:rsidRPr="00A75E02" w14:paraId="798631CC" w14:textId="77777777" w:rsidTr="00C66DC7">
        <w:tc>
          <w:tcPr>
            <w:tcW w:w="1843" w:type="dxa"/>
            <w:tcBorders>
              <w:top w:val="single" w:sz="4" w:space="0" w:color="auto"/>
              <w:left w:val="single" w:sz="4" w:space="0" w:color="auto"/>
              <w:bottom w:val="single" w:sz="4" w:space="0" w:color="auto"/>
              <w:right w:val="single" w:sz="4" w:space="0" w:color="auto"/>
            </w:tcBorders>
            <w:hideMark/>
          </w:tcPr>
          <w:p w14:paraId="357AB09C"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bCs/>
                <w:sz w:val="24"/>
                <w:szCs w:val="24"/>
              </w:rPr>
              <w:t xml:space="preserve">Article 135(2)(13) </w:t>
            </w:r>
          </w:p>
        </w:tc>
        <w:tc>
          <w:tcPr>
            <w:tcW w:w="1560" w:type="dxa"/>
            <w:tcBorders>
              <w:top w:val="single" w:sz="4" w:space="0" w:color="auto"/>
              <w:left w:val="single" w:sz="4" w:space="0" w:color="auto"/>
              <w:bottom w:val="single" w:sz="4" w:space="0" w:color="auto"/>
              <w:right w:val="single" w:sz="4" w:space="0" w:color="auto"/>
            </w:tcBorders>
            <w:hideMark/>
          </w:tcPr>
          <w:p w14:paraId="3ED61C20"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3701CE18"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5B4C39B8"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164F413B"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0</w:t>
            </w:r>
          </w:p>
        </w:tc>
      </w:tr>
      <w:tr w:rsidR="00B62CFB" w:rsidRPr="00A75E02" w14:paraId="52E8D4E8" w14:textId="77777777" w:rsidTr="00C66DC7">
        <w:tc>
          <w:tcPr>
            <w:tcW w:w="1843" w:type="dxa"/>
            <w:tcBorders>
              <w:top w:val="single" w:sz="4" w:space="0" w:color="auto"/>
              <w:left w:val="single" w:sz="4" w:space="0" w:color="auto"/>
              <w:bottom w:val="single" w:sz="4" w:space="0" w:color="auto"/>
              <w:right w:val="single" w:sz="4" w:space="0" w:color="auto"/>
            </w:tcBorders>
            <w:hideMark/>
          </w:tcPr>
          <w:p w14:paraId="2C31563F"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bCs/>
                <w:sz w:val="24"/>
                <w:szCs w:val="24"/>
              </w:rPr>
              <w:t xml:space="preserve">Article 138(2)(13) </w:t>
            </w:r>
          </w:p>
        </w:tc>
        <w:tc>
          <w:tcPr>
            <w:tcW w:w="1560" w:type="dxa"/>
            <w:tcBorders>
              <w:top w:val="single" w:sz="4" w:space="0" w:color="auto"/>
              <w:left w:val="single" w:sz="4" w:space="0" w:color="auto"/>
              <w:bottom w:val="single" w:sz="4" w:space="0" w:color="auto"/>
              <w:right w:val="single" w:sz="4" w:space="0" w:color="auto"/>
            </w:tcBorders>
            <w:hideMark/>
          </w:tcPr>
          <w:p w14:paraId="7BC68188"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096425A9"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6205838F"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0894E383" w14:textId="77777777" w:rsidR="00B62CFB" w:rsidRPr="00A75E02" w:rsidRDefault="00B62CFB" w:rsidP="00C66DC7">
            <w:p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0</w:t>
            </w:r>
          </w:p>
        </w:tc>
      </w:tr>
    </w:tbl>
    <w:p w14:paraId="493CAA96" w14:textId="77777777" w:rsidR="00B62CFB" w:rsidRPr="00A75E02" w:rsidRDefault="00B62CFB" w:rsidP="00B62CFB">
      <w:pPr>
        <w:spacing w:before="100" w:beforeAutospacing="1" w:after="100" w:afterAutospacing="1" w:line="240" w:lineRule="auto"/>
        <w:jc w:val="both"/>
        <w:rPr>
          <w:rFonts w:ascii="Times New Roman" w:hAnsi="Times New Roman" w:cs="Times New Roman"/>
          <w:sz w:val="24"/>
          <w:szCs w:val="24"/>
        </w:rPr>
      </w:pPr>
    </w:p>
    <w:p w14:paraId="37692252" w14:textId="3737DDB9" w:rsidR="00B62CFB" w:rsidRPr="00A75E02" w:rsidRDefault="009457CD" w:rsidP="00B62CFB">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sz w:val="24"/>
          <w:szCs w:val="24"/>
        </w:rPr>
        <w:lastRenderedPageBreak/>
        <w:t>41</w:t>
      </w:r>
      <w:r w:rsidR="00B62CFB" w:rsidRPr="00A75E02">
        <w:rPr>
          <w:rFonts w:ascii="Times New Roman" w:hAnsi="Times New Roman"/>
          <w:sz w:val="24"/>
          <w:szCs w:val="24"/>
        </w:rPr>
        <w:t xml:space="preserve">. It should be noted that information presented in the table includes cases related not only to liability for crimes committed on the </w:t>
      </w:r>
      <w:r w:rsidR="0026486E">
        <w:rPr>
          <w:rFonts w:ascii="Times New Roman" w:hAnsi="Times New Roman"/>
          <w:sz w:val="24"/>
          <w:szCs w:val="24"/>
        </w:rPr>
        <w:t>grounds of race and nationality</w:t>
      </w:r>
      <w:r w:rsidR="00B62CFB" w:rsidRPr="00A75E02">
        <w:rPr>
          <w:rFonts w:ascii="Times New Roman" w:hAnsi="Times New Roman"/>
          <w:sz w:val="24"/>
          <w:szCs w:val="24"/>
        </w:rPr>
        <w:t>, but also to liability for crimes committed on the grounds of sex, descent, religion or belonging to other groups.</w:t>
      </w:r>
      <w:r w:rsidR="00B62CFB" w:rsidRPr="00A75E02">
        <w:rPr>
          <w:rFonts w:ascii="Times New Roman" w:hAnsi="Times New Roman"/>
          <w:bCs/>
          <w:sz w:val="24"/>
          <w:szCs w:val="24"/>
        </w:rPr>
        <w:t xml:space="preserve"> </w:t>
      </w:r>
    </w:p>
    <w:p w14:paraId="575677DC" w14:textId="7CDEFC59" w:rsidR="00B62CFB" w:rsidRPr="00A75E02" w:rsidRDefault="009457CD" w:rsidP="00B62CFB">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bCs/>
          <w:sz w:val="24"/>
          <w:szCs w:val="24"/>
        </w:rPr>
        <w:t>42</w:t>
      </w:r>
      <w:r w:rsidR="00B62CFB" w:rsidRPr="00A75E02">
        <w:rPr>
          <w:rFonts w:ascii="Times New Roman" w:hAnsi="Times New Roman"/>
          <w:bCs/>
          <w:sz w:val="24"/>
          <w:szCs w:val="24"/>
        </w:rPr>
        <w:t xml:space="preserve">. The review of cases </w:t>
      </w:r>
      <w:r w:rsidR="009350D4" w:rsidRPr="00A75E02">
        <w:rPr>
          <w:rFonts w:ascii="Times New Roman" w:hAnsi="Times New Roman"/>
          <w:bCs/>
          <w:sz w:val="24"/>
          <w:szCs w:val="24"/>
        </w:rPr>
        <w:t>presented</w:t>
      </w:r>
      <w:r w:rsidR="00B62CFB" w:rsidRPr="00A75E02">
        <w:rPr>
          <w:rFonts w:ascii="Times New Roman" w:hAnsi="Times New Roman"/>
          <w:bCs/>
          <w:sz w:val="24"/>
          <w:szCs w:val="24"/>
        </w:rPr>
        <w:t xml:space="preserve"> in the table allows </w:t>
      </w:r>
      <w:proofErr w:type="gramStart"/>
      <w:r w:rsidR="00B62CFB" w:rsidRPr="00A75E02">
        <w:rPr>
          <w:rFonts w:ascii="Times New Roman" w:hAnsi="Times New Roman"/>
          <w:bCs/>
          <w:sz w:val="24"/>
          <w:szCs w:val="24"/>
        </w:rPr>
        <w:t>to summarize</w:t>
      </w:r>
      <w:proofErr w:type="gramEnd"/>
      <w:r w:rsidR="00B62CFB" w:rsidRPr="00A75E02">
        <w:rPr>
          <w:rFonts w:ascii="Times New Roman" w:hAnsi="Times New Roman"/>
          <w:bCs/>
          <w:sz w:val="24"/>
          <w:szCs w:val="24"/>
        </w:rPr>
        <w:t xml:space="preserve"> that it includes 5 cases in which persons were sentenced for incitement against the group of persons </w:t>
      </w:r>
      <w:r w:rsidR="0026486E">
        <w:rPr>
          <w:rFonts w:ascii="Times New Roman" w:hAnsi="Times New Roman"/>
          <w:bCs/>
          <w:sz w:val="24"/>
          <w:szCs w:val="24"/>
        </w:rPr>
        <w:t xml:space="preserve">of </w:t>
      </w:r>
      <w:r w:rsidR="00B62CFB" w:rsidRPr="00A75E02">
        <w:rPr>
          <w:rFonts w:ascii="Times New Roman" w:hAnsi="Times New Roman"/>
          <w:bCs/>
          <w:sz w:val="24"/>
          <w:szCs w:val="24"/>
        </w:rPr>
        <w:t xml:space="preserve">other race (Article 170 of </w:t>
      </w:r>
      <w:r w:rsidR="00D46559" w:rsidRPr="00A75E02">
        <w:rPr>
          <w:rFonts w:ascii="Times New Roman" w:hAnsi="Times New Roman"/>
          <w:bCs/>
          <w:sz w:val="24"/>
          <w:szCs w:val="24"/>
        </w:rPr>
        <w:t xml:space="preserve">the </w:t>
      </w:r>
      <w:r w:rsidR="00B62CFB" w:rsidRPr="00A75E02">
        <w:rPr>
          <w:rFonts w:ascii="Times New Roman" w:hAnsi="Times New Roman"/>
          <w:bCs/>
          <w:sz w:val="24"/>
          <w:szCs w:val="24"/>
        </w:rPr>
        <w:t xml:space="preserve">CC). Judgements of conviction </w:t>
      </w:r>
      <w:proofErr w:type="gramStart"/>
      <w:r w:rsidR="00B62CFB" w:rsidRPr="00A75E02">
        <w:rPr>
          <w:rFonts w:ascii="Times New Roman" w:hAnsi="Times New Roman"/>
          <w:bCs/>
          <w:sz w:val="24"/>
          <w:szCs w:val="24"/>
        </w:rPr>
        <w:t>were delivered</w:t>
      </w:r>
      <w:proofErr w:type="gramEnd"/>
      <w:r w:rsidR="00B62CFB" w:rsidRPr="00A75E02">
        <w:rPr>
          <w:rFonts w:ascii="Times New Roman" w:hAnsi="Times New Roman"/>
          <w:bCs/>
          <w:sz w:val="24"/>
          <w:szCs w:val="24"/>
        </w:rPr>
        <w:t xml:space="preserve"> in respect of three cases (penalty orders), judgement of not guilty was delivered in respect of one case</w:t>
      </w:r>
      <w:r w:rsidR="0026486E">
        <w:rPr>
          <w:rFonts w:ascii="Times New Roman" w:hAnsi="Times New Roman"/>
          <w:bCs/>
          <w:sz w:val="24"/>
          <w:szCs w:val="24"/>
        </w:rPr>
        <w:t>,</w:t>
      </w:r>
      <w:r w:rsidR="00B62CFB" w:rsidRPr="00A75E02">
        <w:rPr>
          <w:rFonts w:ascii="Times New Roman" w:hAnsi="Times New Roman"/>
          <w:bCs/>
          <w:sz w:val="24"/>
          <w:szCs w:val="24"/>
        </w:rPr>
        <w:t xml:space="preserve"> and the offender was released from criminal liability upon reconciliation between th</w:t>
      </w:r>
      <w:r w:rsidR="0026486E">
        <w:rPr>
          <w:rFonts w:ascii="Times New Roman" w:hAnsi="Times New Roman"/>
          <w:bCs/>
          <w:sz w:val="24"/>
          <w:szCs w:val="24"/>
        </w:rPr>
        <w:t>e offender and the victim in another</w:t>
      </w:r>
      <w:r w:rsidR="00B62CFB" w:rsidRPr="00A75E02">
        <w:rPr>
          <w:rFonts w:ascii="Times New Roman" w:hAnsi="Times New Roman"/>
          <w:bCs/>
          <w:sz w:val="24"/>
          <w:szCs w:val="24"/>
        </w:rPr>
        <w:t xml:space="preserve"> case. </w:t>
      </w:r>
    </w:p>
    <w:p w14:paraId="2B41051F" w14:textId="318201E9" w:rsidR="00B62CFB" w:rsidRPr="00A75E02" w:rsidRDefault="009457CD" w:rsidP="00B62CFB">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bCs/>
          <w:sz w:val="24"/>
          <w:szCs w:val="24"/>
        </w:rPr>
        <w:t>43</w:t>
      </w:r>
      <w:r w:rsidR="00B62CFB" w:rsidRPr="00A75E02">
        <w:rPr>
          <w:rFonts w:ascii="Times New Roman" w:hAnsi="Times New Roman"/>
          <w:bCs/>
          <w:sz w:val="24"/>
          <w:szCs w:val="24"/>
        </w:rPr>
        <w:t xml:space="preserve">. Criminal offences in 25 out of all the cases presented in the table </w:t>
      </w:r>
      <w:proofErr w:type="gramStart"/>
      <w:r w:rsidR="00B62CFB" w:rsidRPr="00A75E02">
        <w:rPr>
          <w:rFonts w:ascii="Times New Roman" w:hAnsi="Times New Roman"/>
          <w:bCs/>
          <w:sz w:val="24"/>
          <w:szCs w:val="24"/>
        </w:rPr>
        <w:t>are related</w:t>
      </w:r>
      <w:proofErr w:type="gramEnd"/>
      <w:r w:rsidR="00B62CFB" w:rsidRPr="00A75E02">
        <w:rPr>
          <w:rFonts w:ascii="Times New Roman" w:hAnsi="Times New Roman"/>
          <w:bCs/>
          <w:sz w:val="24"/>
          <w:szCs w:val="24"/>
        </w:rPr>
        <w:t xml:space="preserve"> to incitement on the ground of nationality. Only in two of them judgements of not guilty were delivered and in all the rest </w:t>
      </w:r>
      <w:proofErr w:type="gramStart"/>
      <w:r w:rsidR="00B62CFB" w:rsidRPr="00A75E02">
        <w:rPr>
          <w:rFonts w:ascii="Times New Roman" w:hAnsi="Times New Roman"/>
          <w:bCs/>
          <w:sz w:val="24"/>
          <w:szCs w:val="24"/>
        </w:rPr>
        <w:t>cases</w:t>
      </w:r>
      <w:proofErr w:type="gramEnd"/>
      <w:r w:rsidR="00B62CFB" w:rsidRPr="00A75E02">
        <w:rPr>
          <w:rFonts w:ascii="Times New Roman" w:hAnsi="Times New Roman"/>
          <w:bCs/>
          <w:sz w:val="24"/>
          <w:szCs w:val="24"/>
        </w:rPr>
        <w:t xml:space="preserve"> persons </w:t>
      </w:r>
      <w:r w:rsidR="00663980" w:rsidRPr="00A75E02">
        <w:rPr>
          <w:rFonts w:ascii="Times New Roman" w:hAnsi="Times New Roman"/>
          <w:bCs/>
          <w:sz w:val="24"/>
          <w:szCs w:val="24"/>
        </w:rPr>
        <w:t>were</w:t>
      </w:r>
      <w:r w:rsidR="00B62CFB" w:rsidRPr="00A75E02">
        <w:rPr>
          <w:rFonts w:ascii="Times New Roman" w:hAnsi="Times New Roman"/>
          <w:bCs/>
          <w:sz w:val="24"/>
          <w:szCs w:val="24"/>
        </w:rPr>
        <w:t xml:space="preserve"> convicted of an offence.</w:t>
      </w:r>
      <w:r w:rsidR="001601D9">
        <w:rPr>
          <w:rFonts w:ascii="Times New Roman" w:hAnsi="Times New Roman"/>
          <w:bCs/>
          <w:sz w:val="24"/>
          <w:szCs w:val="24"/>
        </w:rPr>
        <w:t xml:space="preserve"> </w:t>
      </w:r>
    </w:p>
    <w:p w14:paraId="786E33B3" w14:textId="09EA9B2A" w:rsidR="00B62CFB" w:rsidRPr="00A75E02" w:rsidRDefault="009457CD" w:rsidP="00742FA3">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bCs/>
          <w:sz w:val="24"/>
          <w:szCs w:val="24"/>
        </w:rPr>
        <w:t>44</w:t>
      </w:r>
      <w:r w:rsidR="00B62CFB" w:rsidRPr="00A75E02">
        <w:rPr>
          <w:rFonts w:ascii="Times New Roman" w:hAnsi="Times New Roman"/>
          <w:bCs/>
          <w:sz w:val="24"/>
          <w:szCs w:val="24"/>
        </w:rPr>
        <w:t xml:space="preserve">. </w:t>
      </w:r>
      <w:r w:rsidR="0026486E">
        <w:rPr>
          <w:rFonts w:ascii="Times New Roman" w:hAnsi="Times New Roman"/>
          <w:bCs/>
          <w:sz w:val="24"/>
          <w:szCs w:val="24"/>
        </w:rPr>
        <w:t>Taking into account the provided information</w:t>
      </w:r>
      <w:r w:rsidR="00B62CFB" w:rsidRPr="00A75E02">
        <w:rPr>
          <w:rFonts w:ascii="Times New Roman" w:hAnsi="Times New Roman"/>
          <w:bCs/>
          <w:sz w:val="24"/>
          <w:szCs w:val="24"/>
        </w:rPr>
        <w:t xml:space="preserve"> it </w:t>
      </w:r>
      <w:proofErr w:type="gramStart"/>
      <w:r w:rsidR="0026486E">
        <w:rPr>
          <w:rFonts w:ascii="Times New Roman" w:hAnsi="Times New Roman"/>
          <w:bCs/>
          <w:sz w:val="24"/>
          <w:szCs w:val="24"/>
        </w:rPr>
        <w:t>should be stressed</w:t>
      </w:r>
      <w:proofErr w:type="gramEnd"/>
      <w:r w:rsidR="00B62CFB" w:rsidRPr="00111793">
        <w:rPr>
          <w:rFonts w:ascii="Times New Roman" w:hAnsi="Times New Roman"/>
          <w:bCs/>
          <w:sz w:val="24"/>
          <w:szCs w:val="24"/>
        </w:rPr>
        <w:t xml:space="preserve"> that persons accused in cases of the above-mentioned type are prosecuted in the courts in a proper manner and </w:t>
      </w:r>
      <w:r w:rsidR="00570484" w:rsidRPr="00A75E02">
        <w:rPr>
          <w:rFonts w:ascii="Times New Roman" w:hAnsi="Times New Roman"/>
          <w:bCs/>
          <w:sz w:val="24"/>
          <w:szCs w:val="24"/>
        </w:rPr>
        <w:t xml:space="preserve">Committee’s recommendation </w:t>
      </w:r>
      <w:r w:rsidR="0003506F" w:rsidRPr="00A75E02">
        <w:rPr>
          <w:rFonts w:ascii="Times New Roman" w:hAnsi="Times New Roman"/>
          <w:bCs/>
          <w:sz w:val="24"/>
          <w:szCs w:val="24"/>
        </w:rPr>
        <w:t xml:space="preserve">to ensure that </w:t>
      </w:r>
      <w:r w:rsidR="0003506F" w:rsidRPr="00A75E02">
        <w:rPr>
          <w:rFonts w:ascii="Times New Roman" w:hAnsi="Times New Roman"/>
          <w:bCs/>
          <w:i/>
          <w:sz w:val="24"/>
          <w:szCs w:val="24"/>
        </w:rPr>
        <w:t>ultima rat</w:t>
      </w:r>
      <w:r w:rsidR="00333CD4">
        <w:rPr>
          <w:rFonts w:ascii="Times New Roman" w:hAnsi="Times New Roman"/>
          <w:bCs/>
          <w:i/>
          <w:sz w:val="24"/>
          <w:szCs w:val="24"/>
        </w:rPr>
        <w:t>io</w:t>
      </w:r>
      <w:r w:rsidR="0003506F" w:rsidRPr="00A75E02">
        <w:rPr>
          <w:rFonts w:ascii="Times New Roman" w:hAnsi="Times New Roman"/>
          <w:bCs/>
          <w:sz w:val="24"/>
          <w:szCs w:val="24"/>
        </w:rPr>
        <w:t xml:space="preserve"> principle is not narrowly applied</w:t>
      </w:r>
      <w:r w:rsidR="00B62CFB" w:rsidRPr="00A75E02">
        <w:rPr>
          <w:rFonts w:ascii="Times New Roman" w:hAnsi="Times New Roman"/>
          <w:bCs/>
          <w:sz w:val="24"/>
          <w:szCs w:val="24"/>
        </w:rPr>
        <w:t xml:space="preserve"> </w:t>
      </w:r>
      <w:r w:rsidR="0003506F" w:rsidRPr="00A75E02">
        <w:rPr>
          <w:rFonts w:ascii="Times New Roman" w:hAnsi="Times New Roman"/>
          <w:bCs/>
          <w:sz w:val="24"/>
          <w:szCs w:val="24"/>
        </w:rPr>
        <w:t xml:space="preserve">in </w:t>
      </w:r>
      <w:r w:rsidR="00163A34">
        <w:rPr>
          <w:rFonts w:ascii="Times New Roman" w:hAnsi="Times New Roman"/>
          <w:bCs/>
          <w:sz w:val="24"/>
          <w:szCs w:val="24"/>
        </w:rPr>
        <w:t>case of hate crimes is implemented</w:t>
      </w:r>
      <w:r w:rsidR="00C23DFD" w:rsidRPr="00A75E02">
        <w:rPr>
          <w:rFonts w:ascii="Times New Roman" w:hAnsi="Times New Roman"/>
          <w:bCs/>
          <w:sz w:val="24"/>
          <w:szCs w:val="24"/>
        </w:rPr>
        <w:t>.</w:t>
      </w:r>
      <w:r w:rsidR="0003506F" w:rsidRPr="00A75E02">
        <w:rPr>
          <w:rFonts w:ascii="Times New Roman" w:hAnsi="Times New Roman"/>
          <w:bCs/>
          <w:sz w:val="24"/>
          <w:szCs w:val="24"/>
        </w:rPr>
        <w:t xml:space="preserve"> </w:t>
      </w:r>
    </w:p>
    <w:p w14:paraId="36C25822" w14:textId="0C05B420" w:rsidR="00B62CFB" w:rsidRPr="00A75E02" w:rsidRDefault="009457C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45</w:t>
      </w:r>
      <w:r w:rsidR="00B62CFB" w:rsidRPr="00A75E02">
        <w:rPr>
          <w:rFonts w:ascii="Times New Roman" w:hAnsi="Times New Roman"/>
          <w:sz w:val="24"/>
          <w:szCs w:val="24"/>
        </w:rPr>
        <w:t xml:space="preserve">. Procedural rights </w:t>
      </w:r>
      <w:proofErr w:type="gramStart"/>
      <w:r w:rsidR="00B62CFB" w:rsidRPr="00A75E02">
        <w:rPr>
          <w:rFonts w:ascii="Times New Roman" w:hAnsi="Times New Roman"/>
          <w:sz w:val="24"/>
          <w:szCs w:val="24"/>
        </w:rPr>
        <w:t>are guaranteed</w:t>
      </w:r>
      <w:proofErr w:type="gramEnd"/>
      <w:r w:rsidR="00B62CFB" w:rsidRPr="00A75E02">
        <w:rPr>
          <w:rFonts w:ascii="Times New Roman" w:hAnsi="Times New Roman"/>
          <w:sz w:val="24"/>
          <w:szCs w:val="24"/>
        </w:rPr>
        <w:t xml:space="preserve"> to the victims of racial discrimination </w:t>
      </w:r>
      <w:r w:rsidR="00B517BE" w:rsidRPr="00A75E02">
        <w:rPr>
          <w:rFonts w:ascii="Times New Roman" w:hAnsi="Times New Roman"/>
          <w:sz w:val="24"/>
          <w:szCs w:val="24"/>
        </w:rPr>
        <w:t>or</w:t>
      </w:r>
      <w:r w:rsidR="00B62CFB" w:rsidRPr="00A75E02">
        <w:rPr>
          <w:rFonts w:ascii="Times New Roman" w:hAnsi="Times New Roman"/>
          <w:sz w:val="24"/>
          <w:szCs w:val="24"/>
        </w:rPr>
        <w:t xml:space="preserve"> xenophobia in all cases without exception </w:t>
      </w:r>
      <w:r w:rsidR="00BC29B6" w:rsidRPr="00A75E02">
        <w:rPr>
          <w:rFonts w:ascii="Times New Roman" w:hAnsi="Times New Roman"/>
          <w:sz w:val="24"/>
          <w:szCs w:val="24"/>
        </w:rPr>
        <w:t xml:space="preserve">without prejudice to and </w:t>
      </w:r>
      <w:r w:rsidR="00B62CFB" w:rsidRPr="00A75E02">
        <w:rPr>
          <w:rFonts w:ascii="Times New Roman" w:hAnsi="Times New Roman"/>
          <w:sz w:val="24"/>
          <w:szCs w:val="24"/>
        </w:rPr>
        <w:t>in accordance with the main provisions of the Constitution</w:t>
      </w:r>
      <w:r w:rsidR="00BC29B6" w:rsidRPr="00A75E02">
        <w:rPr>
          <w:rFonts w:ascii="Times New Roman" w:hAnsi="Times New Roman"/>
          <w:sz w:val="24"/>
          <w:szCs w:val="24"/>
        </w:rPr>
        <w:t xml:space="preserve"> of the </w:t>
      </w:r>
      <w:r w:rsidR="00196C1E" w:rsidRPr="00A75E02">
        <w:rPr>
          <w:rFonts w:ascii="Times New Roman" w:hAnsi="Times New Roman"/>
          <w:sz w:val="24"/>
          <w:szCs w:val="24"/>
        </w:rPr>
        <w:t>R</w:t>
      </w:r>
      <w:r w:rsidR="00BC29B6" w:rsidRPr="00A75E02">
        <w:rPr>
          <w:rFonts w:ascii="Times New Roman" w:hAnsi="Times New Roman"/>
          <w:sz w:val="24"/>
          <w:szCs w:val="24"/>
        </w:rPr>
        <w:t>epublic of Lithuania</w:t>
      </w:r>
      <w:r w:rsidR="00B62CFB" w:rsidRPr="00A75E02">
        <w:rPr>
          <w:rFonts w:ascii="Times New Roman" w:hAnsi="Times New Roman"/>
          <w:sz w:val="24"/>
          <w:szCs w:val="24"/>
        </w:rPr>
        <w:t xml:space="preserve">, the Convention on the Elimination of </w:t>
      </w:r>
      <w:r w:rsidR="00196C1E" w:rsidRPr="00A75E02">
        <w:rPr>
          <w:rFonts w:ascii="Times New Roman" w:hAnsi="Times New Roman"/>
          <w:sz w:val="24"/>
          <w:szCs w:val="24"/>
        </w:rPr>
        <w:t xml:space="preserve">all Forms of </w:t>
      </w:r>
      <w:r w:rsidR="00B62CFB" w:rsidRPr="00A75E02">
        <w:rPr>
          <w:rFonts w:ascii="Times New Roman" w:hAnsi="Times New Roman"/>
          <w:sz w:val="24"/>
          <w:szCs w:val="24"/>
        </w:rPr>
        <w:t xml:space="preserve">Racial Discrimination and the European Convention for the Protection of Human Rights and Fundamental Freedoms. The </w:t>
      </w:r>
      <w:proofErr w:type="gramStart"/>
      <w:r w:rsidR="00B62CFB" w:rsidRPr="00A75E02">
        <w:rPr>
          <w:rFonts w:ascii="Times New Roman" w:hAnsi="Times New Roman"/>
          <w:sz w:val="24"/>
          <w:szCs w:val="24"/>
        </w:rPr>
        <w:t xml:space="preserve">procedural status of </w:t>
      </w:r>
      <w:r w:rsidR="00196C1E" w:rsidRPr="00A75E02">
        <w:rPr>
          <w:rFonts w:ascii="Times New Roman" w:hAnsi="Times New Roman"/>
          <w:sz w:val="24"/>
          <w:szCs w:val="24"/>
        </w:rPr>
        <w:t>a</w:t>
      </w:r>
      <w:r w:rsidR="00B62CFB" w:rsidRPr="00A75E02">
        <w:rPr>
          <w:rFonts w:ascii="Times New Roman" w:hAnsi="Times New Roman"/>
          <w:sz w:val="24"/>
          <w:szCs w:val="24"/>
        </w:rPr>
        <w:t xml:space="preserve"> victim in pre-trial investigation and criminal proceedings is </w:t>
      </w:r>
      <w:r w:rsidR="00DF2A50">
        <w:rPr>
          <w:rFonts w:ascii="Times New Roman" w:hAnsi="Times New Roman"/>
          <w:sz w:val="24"/>
          <w:szCs w:val="24"/>
        </w:rPr>
        <w:t>regulated</w:t>
      </w:r>
      <w:r w:rsidR="00B62CFB" w:rsidRPr="00A75E02">
        <w:rPr>
          <w:rFonts w:ascii="Times New Roman" w:hAnsi="Times New Roman"/>
          <w:sz w:val="24"/>
          <w:szCs w:val="24"/>
        </w:rPr>
        <w:t xml:space="preserve"> by the provisions of the CCP</w:t>
      </w:r>
      <w:proofErr w:type="gramEnd"/>
      <w:r w:rsidR="00B62CFB" w:rsidRPr="00A75E02">
        <w:rPr>
          <w:rFonts w:ascii="Times New Roman" w:hAnsi="Times New Roman"/>
          <w:sz w:val="24"/>
          <w:szCs w:val="24"/>
        </w:rPr>
        <w:t>.</w:t>
      </w:r>
    </w:p>
    <w:p w14:paraId="58BBDECD" w14:textId="77777777" w:rsidR="00F000F7" w:rsidRPr="00A75E02" w:rsidRDefault="00F000F7"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(d)</w:t>
      </w:r>
      <w:r w:rsidR="001601D9">
        <w:rPr>
          <w:rFonts w:ascii="Times New Roman" w:hAnsi="Times New Roman"/>
          <w:i/>
          <w:sz w:val="24"/>
          <w:szCs w:val="24"/>
        </w:rPr>
        <w:t xml:space="preserve">  </w:t>
      </w:r>
      <w:r w:rsidRPr="00A75E02">
        <w:rPr>
          <w:rFonts w:ascii="Times New Roman" w:hAnsi="Times New Roman"/>
          <w:i/>
          <w:sz w:val="24"/>
          <w:szCs w:val="24"/>
        </w:rPr>
        <w:t>Provide</w:t>
      </w:r>
      <w:r w:rsidR="001601D9">
        <w:rPr>
          <w:rFonts w:ascii="Times New Roman" w:hAnsi="Times New Roman"/>
          <w:i/>
          <w:sz w:val="24"/>
          <w:szCs w:val="24"/>
        </w:rPr>
        <w:t xml:space="preserve"> </w:t>
      </w:r>
      <w:r w:rsidRPr="00A75E02">
        <w:rPr>
          <w:rFonts w:ascii="Times New Roman" w:hAnsi="Times New Roman"/>
          <w:i/>
          <w:sz w:val="24"/>
          <w:szCs w:val="24"/>
        </w:rPr>
        <w:t>the</w:t>
      </w:r>
      <w:r w:rsidR="001601D9">
        <w:rPr>
          <w:rFonts w:ascii="Times New Roman" w:hAnsi="Times New Roman"/>
          <w:i/>
          <w:sz w:val="24"/>
          <w:szCs w:val="24"/>
        </w:rPr>
        <w:t xml:space="preserve"> </w:t>
      </w:r>
      <w:r w:rsidRPr="00A75E02">
        <w:rPr>
          <w:rFonts w:ascii="Times New Roman" w:hAnsi="Times New Roman"/>
          <w:i/>
          <w:sz w:val="24"/>
          <w:szCs w:val="24"/>
        </w:rPr>
        <w:t>Committee</w:t>
      </w:r>
      <w:r w:rsidR="001601D9">
        <w:rPr>
          <w:rFonts w:ascii="Times New Roman" w:hAnsi="Times New Roman"/>
          <w:i/>
          <w:sz w:val="24"/>
          <w:szCs w:val="24"/>
        </w:rPr>
        <w:t xml:space="preserve"> </w:t>
      </w:r>
      <w:r w:rsidRPr="00A75E02">
        <w:rPr>
          <w:rFonts w:ascii="Times New Roman" w:hAnsi="Times New Roman"/>
          <w:i/>
          <w:sz w:val="24"/>
          <w:szCs w:val="24"/>
        </w:rPr>
        <w:t>with</w:t>
      </w:r>
      <w:r w:rsidR="001601D9">
        <w:rPr>
          <w:rFonts w:ascii="Times New Roman" w:hAnsi="Times New Roman"/>
          <w:i/>
          <w:sz w:val="24"/>
          <w:szCs w:val="24"/>
        </w:rPr>
        <w:t xml:space="preserve"> </w:t>
      </w:r>
      <w:r w:rsidRPr="00A75E02">
        <w:rPr>
          <w:rFonts w:ascii="Times New Roman" w:hAnsi="Times New Roman"/>
          <w:i/>
          <w:sz w:val="24"/>
          <w:szCs w:val="24"/>
        </w:rPr>
        <w:t>statistical</w:t>
      </w:r>
      <w:r w:rsidR="001601D9">
        <w:rPr>
          <w:rFonts w:ascii="Times New Roman" w:hAnsi="Times New Roman"/>
          <w:i/>
          <w:sz w:val="24"/>
          <w:szCs w:val="24"/>
        </w:rPr>
        <w:t xml:space="preserve"> </w:t>
      </w:r>
      <w:r w:rsidRPr="00A75E02">
        <w:rPr>
          <w:rFonts w:ascii="Times New Roman" w:hAnsi="Times New Roman"/>
          <w:i/>
          <w:sz w:val="24"/>
          <w:szCs w:val="24"/>
        </w:rPr>
        <w:t>data</w:t>
      </w:r>
      <w:r w:rsidR="001601D9">
        <w:rPr>
          <w:rFonts w:ascii="Times New Roman" w:hAnsi="Times New Roman"/>
          <w:i/>
          <w:sz w:val="24"/>
          <w:szCs w:val="24"/>
        </w:rPr>
        <w:t xml:space="preserve"> </w:t>
      </w:r>
      <w:r w:rsidRPr="00A75E02">
        <w:rPr>
          <w:rFonts w:ascii="Times New Roman" w:hAnsi="Times New Roman"/>
          <w:i/>
          <w:sz w:val="24"/>
          <w:szCs w:val="24"/>
        </w:rPr>
        <w:t>on</w:t>
      </w:r>
      <w:r w:rsidR="001601D9">
        <w:rPr>
          <w:rFonts w:ascii="Times New Roman" w:hAnsi="Times New Roman"/>
          <w:i/>
          <w:sz w:val="24"/>
          <w:szCs w:val="24"/>
        </w:rPr>
        <w:t xml:space="preserve"> </w:t>
      </w:r>
      <w:r w:rsidRPr="00A75E02">
        <w:rPr>
          <w:rFonts w:ascii="Times New Roman" w:hAnsi="Times New Roman"/>
          <w:i/>
          <w:sz w:val="24"/>
          <w:szCs w:val="24"/>
        </w:rPr>
        <w:t>complaints, investigations, convictions and sanctions for acts categorized as hate crimes</w:t>
      </w:r>
      <w:proofErr w:type="gramStart"/>
      <w:r w:rsidRPr="00A75E02">
        <w:rPr>
          <w:rFonts w:ascii="Times New Roman" w:hAnsi="Times New Roman"/>
          <w:i/>
          <w:sz w:val="24"/>
          <w:szCs w:val="24"/>
        </w:rPr>
        <w:t>;</w:t>
      </w:r>
      <w:proofErr w:type="gramEnd"/>
    </w:p>
    <w:p w14:paraId="552B3F13" w14:textId="06165672" w:rsidR="00CA4352" w:rsidRDefault="009457CD" w:rsidP="00B62CF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46</w:t>
      </w:r>
      <w:r w:rsidR="00B62CFB" w:rsidRPr="00A75E02">
        <w:rPr>
          <w:rFonts w:ascii="Times New Roman" w:hAnsi="Times New Roman"/>
          <w:sz w:val="24"/>
          <w:szCs w:val="24"/>
        </w:rPr>
        <w:t xml:space="preserve">. During the period </w:t>
      </w:r>
      <w:r w:rsidR="00B23E82" w:rsidRPr="00A75E02">
        <w:rPr>
          <w:rFonts w:ascii="Times New Roman" w:hAnsi="Times New Roman"/>
          <w:sz w:val="24"/>
          <w:szCs w:val="24"/>
        </w:rPr>
        <w:t>from</w:t>
      </w:r>
      <w:r w:rsidR="00B62CFB" w:rsidRPr="00A75E02">
        <w:rPr>
          <w:rFonts w:ascii="Times New Roman" w:hAnsi="Times New Roman"/>
          <w:sz w:val="24"/>
          <w:szCs w:val="24"/>
        </w:rPr>
        <w:t xml:space="preserve"> 1 J</w:t>
      </w:r>
      <w:r w:rsidR="00DF2A50">
        <w:rPr>
          <w:rFonts w:ascii="Times New Roman" w:hAnsi="Times New Roman"/>
          <w:sz w:val="24"/>
          <w:szCs w:val="24"/>
        </w:rPr>
        <w:t>anuary 2014 to 30 September 2017,</w:t>
      </w:r>
      <w:r w:rsidR="00B62CFB" w:rsidRPr="00A75E02">
        <w:rPr>
          <w:rFonts w:ascii="Times New Roman" w:hAnsi="Times New Roman"/>
          <w:sz w:val="24"/>
          <w:szCs w:val="24"/>
        </w:rPr>
        <w:t xml:space="preserve"> 278 pre</w:t>
      </w:r>
      <w:r w:rsidR="00D46559" w:rsidRPr="00A75E02">
        <w:rPr>
          <w:rFonts w:ascii="Times New Roman" w:hAnsi="Times New Roman"/>
          <w:sz w:val="24"/>
          <w:szCs w:val="24"/>
        </w:rPr>
        <w:t>-</w:t>
      </w:r>
      <w:r w:rsidR="00B62CFB" w:rsidRPr="00A75E02">
        <w:rPr>
          <w:rFonts w:ascii="Times New Roman" w:hAnsi="Times New Roman"/>
          <w:sz w:val="24"/>
          <w:szCs w:val="24"/>
        </w:rPr>
        <w:t xml:space="preserve">trial investigations </w:t>
      </w:r>
      <w:proofErr w:type="gramStart"/>
      <w:r w:rsidR="00B62CFB" w:rsidRPr="00A75E02">
        <w:rPr>
          <w:rFonts w:ascii="Times New Roman" w:hAnsi="Times New Roman"/>
          <w:sz w:val="24"/>
          <w:szCs w:val="24"/>
        </w:rPr>
        <w:t>were initiated</w:t>
      </w:r>
      <w:proofErr w:type="gramEnd"/>
      <w:r w:rsidR="00B62CFB" w:rsidRPr="00A75E02">
        <w:rPr>
          <w:rFonts w:ascii="Times New Roman" w:hAnsi="Times New Roman"/>
          <w:sz w:val="24"/>
          <w:szCs w:val="24"/>
        </w:rPr>
        <w:t xml:space="preserve"> in respect of the above-mentioned criminal offences. </w:t>
      </w:r>
    </w:p>
    <w:p w14:paraId="3A5F3F21" w14:textId="4578C785" w:rsidR="00B62CFB" w:rsidRPr="00A75E02" w:rsidRDefault="009457CD" w:rsidP="00B62CFB">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47</w:t>
      </w:r>
      <w:r w:rsidR="00CA4352">
        <w:rPr>
          <w:rFonts w:ascii="Times New Roman" w:hAnsi="Times New Roman"/>
          <w:sz w:val="24"/>
          <w:szCs w:val="24"/>
        </w:rPr>
        <w:t xml:space="preserve">. </w:t>
      </w:r>
      <w:r w:rsidR="00B62CFB" w:rsidRPr="00A75E02">
        <w:rPr>
          <w:rFonts w:ascii="Times New Roman" w:hAnsi="Times New Roman"/>
          <w:sz w:val="24"/>
          <w:szCs w:val="24"/>
        </w:rPr>
        <w:t xml:space="preserve">Since POIS and ICPS are unable to </w:t>
      </w:r>
      <w:r w:rsidR="00B23E82" w:rsidRPr="00A75E02">
        <w:rPr>
          <w:rFonts w:ascii="Times New Roman" w:hAnsi="Times New Roman"/>
          <w:sz w:val="24"/>
          <w:szCs w:val="24"/>
        </w:rPr>
        <w:t>list</w:t>
      </w:r>
      <w:r w:rsidR="00B62CFB" w:rsidRPr="00A75E02">
        <w:rPr>
          <w:rFonts w:ascii="Times New Roman" w:hAnsi="Times New Roman"/>
          <w:sz w:val="24"/>
          <w:szCs w:val="24"/>
        </w:rPr>
        <w:t xml:space="preserve"> pre</w:t>
      </w:r>
      <w:r w:rsidR="00D46559" w:rsidRPr="00A75E02">
        <w:rPr>
          <w:rFonts w:ascii="Times New Roman" w:hAnsi="Times New Roman"/>
          <w:sz w:val="24"/>
          <w:szCs w:val="24"/>
        </w:rPr>
        <w:t>-trial</w:t>
      </w:r>
      <w:r w:rsidR="00B62CFB" w:rsidRPr="00A75E02">
        <w:rPr>
          <w:rFonts w:ascii="Times New Roman" w:hAnsi="Times New Roman"/>
          <w:sz w:val="24"/>
          <w:szCs w:val="24"/>
        </w:rPr>
        <w:t xml:space="preserve"> investigations in which xenophobia, race and discrim</w:t>
      </w:r>
      <w:r w:rsidR="00B54454">
        <w:rPr>
          <w:rFonts w:ascii="Times New Roman" w:hAnsi="Times New Roman"/>
          <w:sz w:val="24"/>
          <w:szCs w:val="24"/>
        </w:rPr>
        <w:t xml:space="preserve">ination related grounds were </w:t>
      </w:r>
      <w:r w:rsidR="00B62CFB" w:rsidRPr="00A75E02">
        <w:rPr>
          <w:rFonts w:ascii="Times New Roman" w:hAnsi="Times New Roman"/>
          <w:sz w:val="24"/>
          <w:szCs w:val="24"/>
        </w:rPr>
        <w:t>recognized as an aggravating circumstance in the criminal liability of a perpetrator, this figure includes only pre</w:t>
      </w:r>
      <w:r w:rsidR="00D46559" w:rsidRPr="00A75E02">
        <w:rPr>
          <w:rFonts w:ascii="Times New Roman" w:hAnsi="Times New Roman"/>
          <w:sz w:val="24"/>
          <w:szCs w:val="24"/>
        </w:rPr>
        <w:t>-</w:t>
      </w:r>
      <w:r w:rsidR="00B62CFB" w:rsidRPr="00A75E02">
        <w:rPr>
          <w:rFonts w:ascii="Times New Roman" w:hAnsi="Times New Roman"/>
          <w:sz w:val="24"/>
          <w:szCs w:val="24"/>
        </w:rPr>
        <w:t>trial investigations initiated on the basis of Article 169, Article 170, Article 129(2)(13), Article 135(2)(13), Article 138(2)(13) and Article 312(2) of the CC.</w:t>
      </w:r>
      <w:proofErr w:type="gramEnd"/>
      <w:r w:rsidR="001601D9">
        <w:rPr>
          <w:rFonts w:ascii="Times New Roman" w:hAnsi="Times New Roman"/>
          <w:bCs/>
          <w:sz w:val="24"/>
          <w:szCs w:val="24"/>
        </w:rPr>
        <w:t xml:space="preserve">  </w:t>
      </w:r>
    </w:p>
    <w:p w14:paraId="7305BAF7" w14:textId="3598AE5E" w:rsidR="00B62CFB" w:rsidRPr="00A75E02" w:rsidRDefault="009457CD" w:rsidP="00B62CFB">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48</w:t>
      </w:r>
      <w:r w:rsidR="00B62CFB" w:rsidRPr="00A75E02">
        <w:rPr>
          <w:rFonts w:ascii="Times New Roman" w:hAnsi="Times New Roman"/>
          <w:sz w:val="24"/>
          <w:szCs w:val="24"/>
        </w:rPr>
        <w:t>. The</w:t>
      </w:r>
      <w:r w:rsidR="00DF2A50">
        <w:rPr>
          <w:rFonts w:ascii="Times New Roman" w:hAnsi="Times New Roman"/>
          <w:sz w:val="24"/>
          <w:szCs w:val="24"/>
        </w:rPr>
        <w:t xml:space="preserve"> provided</w:t>
      </w:r>
      <w:r w:rsidR="00B62CFB" w:rsidRPr="00A75E02">
        <w:rPr>
          <w:rFonts w:ascii="Times New Roman" w:hAnsi="Times New Roman"/>
          <w:sz w:val="24"/>
          <w:szCs w:val="24"/>
        </w:rPr>
        <w:t xml:space="preserve"> data of the Prosecutor’s Office Information System indicates that during the period </w:t>
      </w:r>
      <w:r w:rsidR="0018409B" w:rsidRPr="00A75E02">
        <w:rPr>
          <w:rFonts w:ascii="Times New Roman" w:hAnsi="Times New Roman"/>
          <w:sz w:val="24"/>
          <w:szCs w:val="24"/>
        </w:rPr>
        <w:t>form</w:t>
      </w:r>
      <w:r w:rsidR="00B62CFB" w:rsidRPr="00A75E02">
        <w:rPr>
          <w:rFonts w:ascii="Times New Roman" w:hAnsi="Times New Roman"/>
          <w:sz w:val="24"/>
          <w:szCs w:val="24"/>
        </w:rPr>
        <w:t xml:space="preserve"> 1 January 2014 to 30 September 2017 one pre</w:t>
      </w:r>
      <w:r w:rsidR="00D46559" w:rsidRPr="00A75E02">
        <w:rPr>
          <w:rFonts w:ascii="Times New Roman" w:hAnsi="Times New Roman"/>
          <w:sz w:val="24"/>
          <w:szCs w:val="24"/>
        </w:rPr>
        <w:t>-</w:t>
      </w:r>
      <w:r w:rsidR="00B62CFB" w:rsidRPr="00A75E02">
        <w:rPr>
          <w:rFonts w:ascii="Times New Roman" w:hAnsi="Times New Roman"/>
          <w:sz w:val="24"/>
          <w:szCs w:val="24"/>
        </w:rPr>
        <w:t xml:space="preserve">trial investigation on the basis of Article 169 of the CC was initiated and was discontinued </w:t>
      </w:r>
      <w:r w:rsidR="00985063" w:rsidRPr="00A75E02">
        <w:rPr>
          <w:rFonts w:ascii="Times New Roman" w:hAnsi="Times New Roman"/>
          <w:sz w:val="24"/>
          <w:szCs w:val="24"/>
        </w:rPr>
        <w:t>i</w:t>
      </w:r>
      <w:r w:rsidR="00B62CFB" w:rsidRPr="00A75E02">
        <w:rPr>
          <w:rFonts w:ascii="Times New Roman" w:hAnsi="Times New Roman"/>
          <w:sz w:val="24"/>
          <w:szCs w:val="24"/>
        </w:rPr>
        <w:t xml:space="preserve">n the absence of </w:t>
      </w:r>
      <w:r w:rsidR="00985063" w:rsidRPr="00A75E02">
        <w:rPr>
          <w:rFonts w:ascii="Times New Roman" w:hAnsi="Times New Roman"/>
          <w:sz w:val="24"/>
          <w:szCs w:val="24"/>
        </w:rPr>
        <w:t xml:space="preserve">elements of </w:t>
      </w:r>
      <w:r w:rsidR="00B62CFB" w:rsidRPr="00A75E02">
        <w:rPr>
          <w:rFonts w:ascii="Times New Roman" w:hAnsi="Times New Roman"/>
          <w:sz w:val="24"/>
          <w:szCs w:val="24"/>
        </w:rPr>
        <w:t>criminal offence.</w:t>
      </w:r>
    </w:p>
    <w:p w14:paraId="3DE277BD" w14:textId="7B7947D9" w:rsidR="00B62CFB" w:rsidRPr="00A75E02" w:rsidRDefault="009457CD" w:rsidP="00B62CFB">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49</w:t>
      </w:r>
      <w:r w:rsidR="00B62CFB" w:rsidRPr="00A75E02">
        <w:rPr>
          <w:rFonts w:ascii="Times New Roman" w:hAnsi="Times New Roman"/>
          <w:sz w:val="24"/>
          <w:szCs w:val="24"/>
        </w:rPr>
        <w:t xml:space="preserve">. During the period </w:t>
      </w:r>
      <w:r w:rsidR="00985063" w:rsidRPr="00A75E02">
        <w:rPr>
          <w:rFonts w:ascii="Times New Roman" w:hAnsi="Times New Roman"/>
          <w:sz w:val="24"/>
          <w:szCs w:val="24"/>
        </w:rPr>
        <w:t>form</w:t>
      </w:r>
      <w:r w:rsidR="00B62CFB" w:rsidRPr="00A75E02">
        <w:rPr>
          <w:rFonts w:ascii="Times New Roman" w:hAnsi="Times New Roman"/>
          <w:sz w:val="24"/>
          <w:szCs w:val="24"/>
        </w:rPr>
        <w:t xml:space="preserve"> 1 January 2014 to 30 September 2017</w:t>
      </w:r>
      <w:r w:rsidR="00DF2A50">
        <w:rPr>
          <w:rFonts w:ascii="Times New Roman" w:hAnsi="Times New Roman"/>
          <w:sz w:val="24"/>
          <w:szCs w:val="24"/>
        </w:rPr>
        <w:t>,</w:t>
      </w:r>
      <w:r w:rsidR="00B62CFB" w:rsidRPr="00A75E02">
        <w:rPr>
          <w:rFonts w:ascii="Times New Roman" w:hAnsi="Times New Roman"/>
          <w:sz w:val="24"/>
          <w:szCs w:val="24"/>
        </w:rPr>
        <w:t xml:space="preserve"> 276 pre</w:t>
      </w:r>
      <w:r w:rsidR="00D46559" w:rsidRPr="00A75E02">
        <w:rPr>
          <w:rFonts w:ascii="Times New Roman" w:hAnsi="Times New Roman"/>
          <w:sz w:val="24"/>
          <w:szCs w:val="24"/>
        </w:rPr>
        <w:t>-</w:t>
      </w:r>
      <w:r w:rsidR="00B62CFB" w:rsidRPr="00A75E02">
        <w:rPr>
          <w:rFonts w:ascii="Times New Roman" w:hAnsi="Times New Roman"/>
          <w:sz w:val="24"/>
          <w:szCs w:val="24"/>
        </w:rPr>
        <w:t xml:space="preserve">trial investigations </w:t>
      </w:r>
      <w:r w:rsidR="00985063" w:rsidRPr="00A75E02">
        <w:rPr>
          <w:rFonts w:ascii="Times New Roman" w:hAnsi="Times New Roman"/>
          <w:sz w:val="24"/>
          <w:szCs w:val="24"/>
        </w:rPr>
        <w:t>on</w:t>
      </w:r>
      <w:r w:rsidR="00B62CFB" w:rsidRPr="00A75E02">
        <w:rPr>
          <w:rFonts w:ascii="Times New Roman" w:hAnsi="Times New Roman"/>
          <w:sz w:val="24"/>
          <w:szCs w:val="24"/>
        </w:rPr>
        <w:t xml:space="preserve"> the incitement against any national, racial, ethnic, religious or other group of persons on the basis of Article 170 of the CC were initiated (in 2014 the number of pre</w:t>
      </w:r>
      <w:r w:rsidR="00D46559" w:rsidRPr="00A75E02">
        <w:rPr>
          <w:rFonts w:ascii="Times New Roman" w:hAnsi="Times New Roman"/>
          <w:sz w:val="24"/>
          <w:szCs w:val="24"/>
        </w:rPr>
        <w:t>-</w:t>
      </w:r>
      <w:r w:rsidR="00B62CFB" w:rsidRPr="00A75E02">
        <w:rPr>
          <w:rFonts w:ascii="Times New Roman" w:hAnsi="Times New Roman"/>
          <w:sz w:val="24"/>
          <w:szCs w:val="24"/>
        </w:rPr>
        <w:t xml:space="preserve">trial investigations initiated was 71, in 2015 - 137, in 2016 - 50, in 2017 - 18). </w:t>
      </w:r>
      <w:proofErr w:type="gramStart"/>
      <w:r w:rsidR="00B62CFB" w:rsidRPr="00A75E02">
        <w:rPr>
          <w:rFonts w:ascii="Times New Roman" w:hAnsi="Times New Roman"/>
          <w:sz w:val="24"/>
          <w:szCs w:val="24"/>
        </w:rPr>
        <w:t>45 out of the above-mentioned pre</w:t>
      </w:r>
      <w:r w:rsidR="00D46559" w:rsidRPr="00A75E02">
        <w:rPr>
          <w:rFonts w:ascii="Times New Roman" w:hAnsi="Times New Roman"/>
          <w:sz w:val="24"/>
          <w:szCs w:val="24"/>
        </w:rPr>
        <w:t>-</w:t>
      </w:r>
      <w:r w:rsidR="00B62CFB" w:rsidRPr="00A75E02">
        <w:rPr>
          <w:rFonts w:ascii="Times New Roman" w:hAnsi="Times New Roman"/>
          <w:sz w:val="24"/>
          <w:szCs w:val="24"/>
        </w:rPr>
        <w:t xml:space="preserve">trial investigations were finalised by </w:t>
      </w:r>
      <w:r w:rsidR="00DF2A50">
        <w:rPr>
          <w:rFonts w:ascii="Times New Roman" w:hAnsi="Times New Roman"/>
          <w:sz w:val="24"/>
          <w:szCs w:val="24"/>
        </w:rPr>
        <w:t>transferring</w:t>
      </w:r>
      <w:r w:rsidR="00B62CFB" w:rsidRPr="00A75E02">
        <w:rPr>
          <w:rFonts w:ascii="Times New Roman" w:hAnsi="Times New Roman"/>
          <w:sz w:val="24"/>
          <w:szCs w:val="24"/>
        </w:rPr>
        <w:t xml:space="preserve"> the criminal case to the court, 105 were </w:t>
      </w:r>
      <w:r w:rsidR="00D51AE5" w:rsidRPr="00A75E02">
        <w:rPr>
          <w:rFonts w:ascii="Times New Roman" w:hAnsi="Times New Roman"/>
          <w:sz w:val="24"/>
          <w:szCs w:val="24"/>
        </w:rPr>
        <w:t>discontinued</w:t>
      </w:r>
      <w:r w:rsidR="00B62CFB" w:rsidRPr="00A75E02">
        <w:rPr>
          <w:rFonts w:ascii="Times New Roman" w:hAnsi="Times New Roman"/>
          <w:sz w:val="24"/>
          <w:szCs w:val="24"/>
        </w:rPr>
        <w:t xml:space="preserve"> (of which 78 were </w:t>
      </w:r>
      <w:r w:rsidR="00D51AE5" w:rsidRPr="00A75E02">
        <w:rPr>
          <w:rFonts w:ascii="Times New Roman" w:hAnsi="Times New Roman"/>
          <w:sz w:val="24"/>
          <w:szCs w:val="24"/>
        </w:rPr>
        <w:t xml:space="preserve">discontinued </w:t>
      </w:r>
      <w:r w:rsidR="00DF2A50">
        <w:rPr>
          <w:rFonts w:ascii="Times New Roman" w:hAnsi="Times New Roman"/>
          <w:sz w:val="24"/>
          <w:szCs w:val="24"/>
        </w:rPr>
        <w:t>due to</w:t>
      </w:r>
      <w:r w:rsidR="00B62CFB" w:rsidRPr="00A75E02">
        <w:rPr>
          <w:rFonts w:ascii="Times New Roman" w:hAnsi="Times New Roman"/>
          <w:sz w:val="24"/>
          <w:szCs w:val="24"/>
        </w:rPr>
        <w:t xml:space="preserve"> the absence of </w:t>
      </w:r>
      <w:r w:rsidR="00D51AE5" w:rsidRPr="00A75E02">
        <w:rPr>
          <w:rFonts w:ascii="Times New Roman" w:hAnsi="Times New Roman"/>
          <w:sz w:val="24"/>
          <w:szCs w:val="24"/>
        </w:rPr>
        <w:t xml:space="preserve">elements of </w:t>
      </w:r>
      <w:r w:rsidR="00B62CFB" w:rsidRPr="00A75E02">
        <w:rPr>
          <w:rFonts w:ascii="Times New Roman" w:hAnsi="Times New Roman"/>
          <w:sz w:val="24"/>
          <w:szCs w:val="24"/>
        </w:rPr>
        <w:t>criminal offence (</w:t>
      </w:r>
      <w:r w:rsidR="00177A81" w:rsidRPr="00A75E02">
        <w:rPr>
          <w:rFonts w:ascii="Times New Roman" w:hAnsi="Times New Roman"/>
          <w:sz w:val="24"/>
          <w:szCs w:val="24"/>
        </w:rPr>
        <w:t xml:space="preserve">paragraph 1 of </w:t>
      </w:r>
      <w:r w:rsidR="00B62CFB" w:rsidRPr="00A75E02">
        <w:rPr>
          <w:rFonts w:ascii="Times New Roman" w:hAnsi="Times New Roman"/>
          <w:sz w:val="24"/>
          <w:szCs w:val="24"/>
        </w:rPr>
        <w:t>Article 212, Article (3)(1)(1) of the CCP</w:t>
      </w:r>
      <w:r w:rsidR="00177A81" w:rsidRPr="00A75E02">
        <w:rPr>
          <w:rFonts w:ascii="Times New Roman" w:hAnsi="Times New Roman"/>
          <w:sz w:val="24"/>
          <w:szCs w:val="24"/>
        </w:rPr>
        <w:t>)</w:t>
      </w:r>
      <w:r w:rsidR="00B62CFB" w:rsidRPr="00A75E02">
        <w:rPr>
          <w:rFonts w:ascii="Times New Roman" w:hAnsi="Times New Roman"/>
          <w:sz w:val="24"/>
          <w:szCs w:val="24"/>
        </w:rPr>
        <w:t xml:space="preserve">, 2 were </w:t>
      </w:r>
      <w:r w:rsidR="00D51AE5" w:rsidRPr="00A75E02">
        <w:rPr>
          <w:rFonts w:ascii="Times New Roman" w:hAnsi="Times New Roman"/>
          <w:sz w:val="24"/>
          <w:szCs w:val="24"/>
        </w:rPr>
        <w:t xml:space="preserve">discontinued </w:t>
      </w:r>
      <w:r w:rsidR="00B62CFB" w:rsidRPr="00A75E02">
        <w:rPr>
          <w:rFonts w:ascii="Times New Roman" w:hAnsi="Times New Roman"/>
          <w:sz w:val="24"/>
          <w:szCs w:val="24"/>
        </w:rPr>
        <w:t>due to the lack of evidence of guilt (</w:t>
      </w:r>
      <w:r w:rsidR="0027389E" w:rsidRPr="00A75E02">
        <w:rPr>
          <w:rFonts w:ascii="Times New Roman" w:hAnsi="Times New Roman"/>
          <w:sz w:val="24"/>
          <w:szCs w:val="24"/>
        </w:rPr>
        <w:t xml:space="preserve">paragraph </w:t>
      </w:r>
      <w:r w:rsidR="00177A81" w:rsidRPr="00A75E02">
        <w:rPr>
          <w:rFonts w:ascii="Times New Roman" w:hAnsi="Times New Roman"/>
          <w:sz w:val="24"/>
          <w:szCs w:val="24"/>
        </w:rPr>
        <w:t xml:space="preserve">2 of </w:t>
      </w:r>
      <w:r w:rsidR="00B62CFB" w:rsidRPr="00A75E02">
        <w:rPr>
          <w:rFonts w:ascii="Times New Roman" w:hAnsi="Times New Roman"/>
          <w:sz w:val="24"/>
          <w:szCs w:val="24"/>
        </w:rPr>
        <w:t xml:space="preserve">Article 212 of </w:t>
      </w:r>
      <w:r w:rsidR="0027389E" w:rsidRPr="00A75E02">
        <w:rPr>
          <w:rFonts w:ascii="Times New Roman" w:hAnsi="Times New Roman"/>
          <w:sz w:val="24"/>
          <w:szCs w:val="24"/>
        </w:rPr>
        <w:t xml:space="preserve">the </w:t>
      </w:r>
      <w:r w:rsidR="00B62CFB" w:rsidRPr="00A75E02">
        <w:rPr>
          <w:rFonts w:ascii="Times New Roman" w:hAnsi="Times New Roman"/>
          <w:sz w:val="24"/>
          <w:szCs w:val="24"/>
        </w:rPr>
        <w:t>CCP</w:t>
      </w:r>
      <w:r w:rsidR="0027389E" w:rsidRPr="00A75E02">
        <w:rPr>
          <w:rFonts w:ascii="Times New Roman" w:hAnsi="Times New Roman"/>
          <w:sz w:val="24"/>
          <w:szCs w:val="24"/>
        </w:rPr>
        <w:t>)</w:t>
      </w:r>
      <w:r w:rsidR="00B62CFB" w:rsidRPr="00A75E02">
        <w:rPr>
          <w:rFonts w:ascii="Times New Roman" w:hAnsi="Times New Roman"/>
          <w:sz w:val="24"/>
          <w:szCs w:val="24"/>
        </w:rPr>
        <w:t xml:space="preserve">, 24 were </w:t>
      </w:r>
      <w:r w:rsidR="00D51AE5" w:rsidRPr="00A75E02">
        <w:rPr>
          <w:rFonts w:ascii="Times New Roman" w:hAnsi="Times New Roman"/>
          <w:sz w:val="24"/>
          <w:szCs w:val="24"/>
        </w:rPr>
        <w:t xml:space="preserve">discontinued </w:t>
      </w:r>
      <w:r w:rsidR="00B62CFB" w:rsidRPr="00A75E02">
        <w:rPr>
          <w:rFonts w:ascii="Times New Roman" w:hAnsi="Times New Roman"/>
          <w:sz w:val="24"/>
          <w:szCs w:val="24"/>
        </w:rPr>
        <w:t>when the suspect was release</w:t>
      </w:r>
      <w:r w:rsidR="00CA640C">
        <w:rPr>
          <w:rFonts w:ascii="Times New Roman" w:hAnsi="Times New Roman"/>
          <w:sz w:val="24"/>
          <w:szCs w:val="24"/>
        </w:rPr>
        <w:t>d</w:t>
      </w:r>
      <w:r w:rsidR="00B62CFB" w:rsidRPr="00A75E02">
        <w:rPr>
          <w:rFonts w:ascii="Times New Roman" w:hAnsi="Times New Roman"/>
          <w:sz w:val="24"/>
          <w:szCs w:val="24"/>
        </w:rPr>
        <w:t xml:space="preserve"> from criminal liability on bail </w:t>
      </w:r>
      <w:r w:rsidR="00B62CFB" w:rsidRPr="00A75E02">
        <w:rPr>
          <w:rFonts w:ascii="Times New Roman" w:hAnsi="Times New Roman"/>
          <w:sz w:val="24"/>
          <w:szCs w:val="24"/>
        </w:rPr>
        <w:lastRenderedPageBreak/>
        <w:t>(</w:t>
      </w:r>
      <w:r w:rsidR="0027389E" w:rsidRPr="00A75E02">
        <w:rPr>
          <w:rFonts w:ascii="Times New Roman" w:hAnsi="Times New Roman"/>
          <w:sz w:val="24"/>
          <w:szCs w:val="24"/>
        </w:rPr>
        <w:t xml:space="preserve">paragraph 6 of </w:t>
      </w:r>
      <w:r w:rsidR="00B62CFB" w:rsidRPr="00A75E02">
        <w:rPr>
          <w:rFonts w:ascii="Times New Roman" w:hAnsi="Times New Roman"/>
          <w:sz w:val="24"/>
          <w:szCs w:val="24"/>
        </w:rPr>
        <w:t xml:space="preserve">Article 212 of </w:t>
      </w:r>
      <w:r w:rsidR="0027389E" w:rsidRPr="00A75E02">
        <w:rPr>
          <w:rFonts w:ascii="Times New Roman" w:hAnsi="Times New Roman"/>
          <w:sz w:val="24"/>
          <w:szCs w:val="24"/>
        </w:rPr>
        <w:t xml:space="preserve">the </w:t>
      </w:r>
      <w:r w:rsidR="00B62CFB" w:rsidRPr="00A75E02">
        <w:rPr>
          <w:rFonts w:ascii="Times New Roman" w:hAnsi="Times New Roman"/>
          <w:sz w:val="24"/>
          <w:szCs w:val="24"/>
        </w:rPr>
        <w:t xml:space="preserve">CCP and Article 40 of </w:t>
      </w:r>
      <w:r w:rsidR="0027389E" w:rsidRPr="00A75E02">
        <w:rPr>
          <w:rFonts w:ascii="Times New Roman" w:hAnsi="Times New Roman"/>
          <w:sz w:val="24"/>
          <w:szCs w:val="24"/>
        </w:rPr>
        <w:t xml:space="preserve">the </w:t>
      </w:r>
      <w:r w:rsidR="00B62CFB" w:rsidRPr="00A75E02">
        <w:rPr>
          <w:rFonts w:ascii="Times New Roman" w:hAnsi="Times New Roman"/>
          <w:sz w:val="24"/>
          <w:szCs w:val="24"/>
        </w:rPr>
        <w:t>CC), 1 was dismissed because a person at the time when the offence was committed has not attained the age at which a person can be held liable for it</w:t>
      </w:r>
      <w:r w:rsidR="008352D3">
        <w:rPr>
          <w:rFonts w:ascii="Times New Roman" w:hAnsi="Times New Roman"/>
          <w:sz w:val="24"/>
          <w:szCs w:val="24"/>
        </w:rPr>
        <w:t xml:space="preserve"> (paragraph 1 of Article 212, </w:t>
      </w:r>
      <w:r w:rsidR="00987AE5" w:rsidRPr="00A75E02">
        <w:rPr>
          <w:rFonts w:ascii="Times New Roman" w:hAnsi="Times New Roman"/>
          <w:sz w:val="24"/>
          <w:szCs w:val="24"/>
        </w:rPr>
        <w:t>Article 3(1)(4)</w:t>
      </w:r>
      <w:r w:rsidR="00923BBE" w:rsidRPr="00A75E02">
        <w:rPr>
          <w:rFonts w:ascii="Times New Roman" w:hAnsi="Times New Roman"/>
          <w:sz w:val="24"/>
          <w:szCs w:val="24"/>
        </w:rPr>
        <w:t xml:space="preserve"> of the CCP)</w:t>
      </w:r>
      <w:r w:rsidR="00B62CFB" w:rsidRPr="00A75E02">
        <w:rPr>
          <w:rFonts w:ascii="Times New Roman" w:hAnsi="Times New Roman"/>
          <w:sz w:val="24"/>
          <w:szCs w:val="24"/>
        </w:rPr>
        <w:t>,</w:t>
      </w:r>
      <w:r w:rsidR="001601D9">
        <w:rPr>
          <w:rFonts w:ascii="Times New Roman" w:hAnsi="Times New Roman"/>
          <w:sz w:val="24"/>
          <w:szCs w:val="24"/>
        </w:rPr>
        <w:t xml:space="preserve"> </w:t>
      </w:r>
      <w:r w:rsidR="00B62CFB" w:rsidRPr="00A75E02">
        <w:rPr>
          <w:rFonts w:ascii="Times New Roman" w:hAnsi="Times New Roman"/>
          <w:sz w:val="24"/>
          <w:szCs w:val="24"/>
        </w:rPr>
        <w:t>86 pre</w:t>
      </w:r>
      <w:r w:rsidR="00D46559" w:rsidRPr="00A75E02">
        <w:rPr>
          <w:rFonts w:ascii="Times New Roman" w:hAnsi="Times New Roman"/>
          <w:sz w:val="24"/>
          <w:szCs w:val="24"/>
        </w:rPr>
        <w:t>-</w:t>
      </w:r>
      <w:r w:rsidR="00B62CFB" w:rsidRPr="00A75E02">
        <w:rPr>
          <w:rFonts w:ascii="Times New Roman" w:hAnsi="Times New Roman"/>
          <w:sz w:val="24"/>
          <w:szCs w:val="24"/>
        </w:rPr>
        <w:t>trial investigations were suspended because all possible means to identify the criminal offender were exhausted and the offender was not identified (Article 3</w:t>
      </w:r>
      <w:r w:rsidR="00B62CFB" w:rsidRPr="00A75E02">
        <w:rPr>
          <w:rFonts w:ascii="Times New Roman" w:hAnsi="Times New Roman"/>
          <w:sz w:val="24"/>
          <w:szCs w:val="24"/>
          <w:vertAlign w:val="superscript"/>
        </w:rPr>
        <w:t>1</w:t>
      </w:r>
      <w:r w:rsidR="00B62CFB" w:rsidRPr="00A75E02">
        <w:rPr>
          <w:rFonts w:ascii="Times New Roman" w:hAnsi="Times New Roman"/>
          <w:sz w:val="24"/>
          <w:szCs w:val="24"/>
        </w:rPr>
        <w:t xml:space="preserve"> of </w:t>
      </w:r>
      <w:r w:rsidR="00D46559" w:rsidRPr="00A75E02">
        <w:rPr>
          <w:rFonts w:ascii="Times New Roman" w:hAnsi="Times New Roman"/>
          <w:sz w:val="24"/>
          <w:szCs w:val="24"/>
        </w:rPr>
        <w:t xml:space="preserve">the </w:t>
      </w:r>
      <w:r w:rsidR="00B62CFB" w:rsidRPr="00A75E02">
        <w:rPr>
          <w:rFonts w:ascii="Times New Roman" w:hAnsi="Times New Roman"/>
          <w:sz w:val="24"/>
          <w:szCs w:val="24"/>
        </w:rPr>
        <w:t>CCP).</w:t>
      </w:r>
      <w:proofErr w:type="gramEnd"/>
      <w:r w:rsidR="001601D9">
        <w:rPr>
          <w:rFonts w:ascii="Times New Roman" w:hAnsi="Times New Roman"/>
          <w:sz w:val="24"/>
          <w:szCs w:val="24"/>
        </w:rPr>
        <w:t xml:space="preserve">   </w:t>
      </w:r>
    </w:p>
    <w:p w14:paraId="3418579E" w14:textId="502F4EC0" w:rsidR="00B62CFB" w:rsidRPr="00A75E02" w:rsidRDefault="009457CD" w:rsidP="00B62CFB">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50</w:t>
      </w:r>
      <w:r w:rsidR="00B62CFB" w:rsidRPr="00A75E02">
        <w:rPr>
          <w:rFonts w:ascii="Times New Roman" w:hAnsi="Times New Roman"/>
          <w:sz w:val="24"/>
          <w:szCs w:val="24"/>
        </w:rPr>
        <w:t xml:space="preserve">. During the period </w:t>
      </w:r>
      <w:r w:rsidR="006A77C2" w:rsidRPr="00A75E02">
        <w:rPr>
          <w:rFonts w:ascii="Times New Roman" w:hAnsi="Times New Roman"/>
          <w:sz w:val="24"/>
          <w:szCs w:val="24"/>
        </w:rPr>
        <w:t>from</w:t>
      </w:r>
      <w:r w:rsidR="00B62CFB" w:rsidRPr="00A75E02">
        <w:rPr>
          <w:rFonts w:ascii="Times New Roman" w:hAnsi="Times New Roman"/>
          <w:sz w:val="24"/>
          <w:szCs w:val="24"/>
        </w:rPr>
        <w:t xml:space="preserve"> 1 January 2014 to 30 September 2017 2 pre</w:t>
      </w:r>
      <w:r w:rsidR="00D46559" w:rsidRPr="00A75E02">
        <w:rPr>
          <w:rFonts w:ascii="Times New Roman" w:hAnsi="Times New Roman"/>
          <w:sz w:val="24"/>
          <w:szCs w:val="24"/>
        </w:rPr>
        <w:t>-</w:t>
      </w:r>
      <w:r w:rsidR="00B62CFB" w:rsidRPr="00A75E02">
        <w:rPr>
          <w:rFonts w:ascii="Times New Roman" w:hAnsi="Times New Roman"/>
          <w:sz w:val="24"/>
          <w:szCs w:val="24"/>
        </w:rPr>
        <w:t xml:space="preserve">trial investigations under Article 138 of the CC were initiated, one of them was discontinued in the absence of </w:t>
      </w:r>
      <w:r w:rsidR="002137FF" w:rsidRPr="00A75E02">
        <w:rPr>
          <w:rFonts w:ascii="Times New Roman" w:hAnsi="Times New Roman"/>
          <w:sz w:val="24"/>
          <w:szCs w:val="24"/>
        </w:rPr>
        <w:t xml:space="preserve">elements of </w:t>
      </w:r>
      <w:r w:rsidR="00B62CFB" w:rsidRPr="00A75E02">
        <w:rPr>
          <w:rFonts w:ascii="Times New Roman" w:hAnsi="Times New Roman"/>
          <w:sz w:val="24"/>
          <w:szCs w:val="24"/>
        </w:rPr>
        <w:t>criminal offence and another is still in progress.</w:t>
      </w:r>
    </w:p>
    <w:p w14:paraId="24E60697" w14:textId="1AFD3E4D" w:rsidR="00B62CFB" w:rsidRPr="00A75E02" w:rsidRDefault="009457CD" w:rsidP="00B62CFB">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51</w:t>
      </w:r>
      <w:r w:rsidR="00B62CFB" w:rsidRPr="00A75E02">
        <w:rPr>
          <w:rFonts w:ascii="Times New Roman" w:hAnsi="Times New Roman"/>
          <w:sz w:val="24"/>
          <w:szCs w:val="24"/>
        </w:rPr>
        <w:t xml:space="preserve">. During the period </w:t>
      </w:r>
      <w:r w:rsidR="002137FF" w:rsidRPr="00A75E02">
        <w:rPr>
          <w:rFonts w:ascii="Times New Roman" w:hAnsi="Times New Roman"/>
          <w:sz w:val="24"/>
          <w:szCs w:val="24"/>
        </w:rPr>
        <w:t>from</w:t>
      </w:r>
      <w:r w:rsidR="00B62CFB" w:rsidRPr="00A75E02">
        <w:rPr>
          <w:rFonts w:ascii="Times New Roman" w:hAnsi="Times New Roman"/>
          <w:sz w:val="24"/>
          <w:szCs w:val="24"/>
        </w:rPr>
        <w:t xml:space="preserve"> 1 January 2014 to 30 September 2017 </w:t>
      </w:r>
      <w:proofErr w:type="gramStart"/>
      <w:r w:rsidR="00B62CFB" w:rsidRPr="00A75E02">
        <w:rPr>
          <w:rFonts w:ascii="Times New Roman" w:hAnsi="Times New Roman"/>
          <w:sz w:val="24"/>
          <w:szCs w:val="24"/>
        </w:rPr>
        <w:t>3</w:t>
      </w:r>
      <w:proofErr w:type="gramEnd"/>
      <w:r w:rsidR="00B62CFB" w:rsidRPr="00A75E02">
        <w:rPr>
          <w:rFonts w:ascii="Times New Roman" w:hAnsi="Times New Roman"/>
          <w:sz w:val="24"/>
          <w:szCs w:val="24"/>
        </w:rPr>
        <w:t xml:space="preserve"> pre</w:t>
      </w:r>
      <w:r w:rsidR="00B86364" w:rsidRPr="00A75E02">
        <w:rPr>
          <w:rFonts w:ascii="Times New Roman" w:hAnsi="Times New Roman"/>
          <w:sz w:val="24"/>
          <w:szCs w:val="24"/>
        </w:rPr>
        <w:t>-</w:t>
      </w:r>
      <w:r w:rsidR="00B62CFB" w:rsidRPr="00A75E02">
        <w:rPr>
          <w:rFonts w:ascii="Times New Roman" w:hAnsi="Times New Roman"/>
          <w:sz w:val="24"/>
          <w:szCs w:val="24"/>
        </w:rPr>
        <w:t>trial investigations under Article 312</w:t>
      </w:r>
      <w:r w:rsidR="002137FF" w:rsidRPr="00A75E02">
        <w:rPr>
          <w:rFonts w:ascii="Times New Roman" w:hAnsi="Times New Roman"/>
          <w:sz w:val="24"/>
          <w:szCs w:val="24"/>
        </w:rPr>
        <w:t>(2)</w:t>
      </w:r>
      <w:r w:rsidR="00B62CFB" w:rsidRPr="00A75E02">
        <w:rPr>
          <w:rFonts w:ascii="Times New Roman" w:hAnsi="Times New Roman"/>
          <w:sz w:val="24"/>
          <w:szCs w:val="24"/>
        </w:rPr>
        <w:t xml:space="preserve"> of the CC concerning the desecration of places of public respect for anti-Semitic reasons were initiated. All the above-mentioned pre</w:t>
      </w:r>
      <w:r w:rsidR="00B86364" w:rsidRPr="00A75E02">
        <w:rPr>
          <w:rFonts w:ascii="Times New Roman" w:hAnsi="Times New Roman"/>
          <w:sz w:val="24"/>
          <w:szCs w:val="24"/>
        </w:rPr>
        <w:t>-</w:t>
      </w:r>
      <w:r w:rsidR="00B62CFB" w:rsidRPr="00A75E02">
        <w:rPr>
          <w:rFonts w:ascii="Times New Roman" w:hAnsi="Times New Roman"/>
          <w:sz w:val="24"/>
          <w:szCs w:val="24"/>
        </w:rPr>
        <w:t xml:space="preserve">trial investigations </w:t>
      </w:r>
      <w:proofErr w:type="gramStart"/>
      <w:r w:rsidR="00B62CFB" w:rsidRPr="00A75E02">
        <w:rPr>
          <w:rFonts w:ascii="Times New Roman" w:hAnsi="Times New Roman"/>
          <w:sz w:val="24"/>
          <w:szCs w:val="24"/>
        </w:rPr>
        <w:t>were discontinued</w:t>
      </w:r>
      <w:proofErr w:type="gramEnd"/>
      <w:r w:rsidR="00B62CFB" w:rsidRPr="00A75E02">
        <w:rPr>
          <w:rFonts w:ascii="Times New Roman" w:hAnsi="Times New Roman"/>
          <w:sz w:val="24"/>
          <w:szCs w:val="24"/>
        </w:rPr>
        <w:t xml:space="preserve"> because the offenders liable for criminal offence were not identified.</w:t>
      </w:r>
    </w:p>
    <w:p w14:paraId="7ED0D61C" w14:textId="38C37D25" w:rsidR="00F000F7" w:rsidRPr="00A75E02" w:rsidRDefault="00726896" w:rsidP="00742FA3">
      <w:pPr>
        <w:spacing w:before="100" w:beforeAutospacing="1" w:after="100" w:afterAutospacing="1" w:line="240" w:lineRule="auto"/>
        <w:jc w:val="both"/>
        <w:rPr>
          <w:rFonts w:ascii="Times New Roman" w:hAnsi="Times New Roman" w:cs="Times New Roman"/>
          <w:i/>
          <w:sz w:val="24"/>
          <w:szCs w:val="24"/>
        </w:rPr>
      </w:pPr>
      <w:proofErr w:type="gramStart"/>
      <w:r w:rsidRPr="00A75E02">
        <w:rPr>
          <w:rFonts w:ascii="Times New Roman" w:hAnsi="Times New Roman"/>
          <w:i/>
          <w:sz w:val="24"/>
          <w:szCs w:val="24"/>
        </w:rPr>
        <w:t>(e)</w:t>
      </w:r>
      <w:r w:rsidR="001601D9">
        <w:rPr>
          <w:rFonts w:ascii="Times New Roman" w:hAnsi="Times New Roman"/>
          <w:i/>
          <w:sz w:val="24"/>
          <w:szCs w:val="24"/>
        </w:rPr>
        <w:t xml:space="preserve">   </w:t>
      </w:r>
      <w:r w:rsidRPr="00A75E02">
        <w:rPr>
          <w:rFonts w:ascii="Times New Roman" w:hAnsi="Times New Roman"/>
          <w:i/>
          <w:sz w:val="24"/>
          <w:szCs w:val="24"/>
        </w:rPr>
        <w:t>Take</w:t>
      </w:r>
      <w:r w:rsidR="001601D9">
        <w:rPr>
          <w:rFonts w:ascii="Times New Roman" w:hAnsi="Times New Roman"/>
          <w:i/>
          <w:sz w:val="24"/>
          <w:szCs w:val="24"/>
        </w:rPr>
        <w:t xml:space="preserve"> </w:t>
      </w:r>
      <w:r w:rsidRPr="00A75E02">
        <w:rPr>
          <w:rFonts w:ascii="Times New Roman" w:hAnsi="Times New Roman"/>
          <w:i/>
          <w:sz w:val="24"/>
          <w:szCs w:val="24"/>
        </w:rPr>
        <w:t>appropriate</w:t>
      </w:r>
      <w:r w:rsidR="001601D9">
        <w:rPr>
          <w:rFonts w:ascii="Times New Roman" w:hAnsi="Times New Roman"/>
          <w:i/>
          <w:sz w:val="24"/>
          <w:szCs w:val="24"/>
        </w:rPr>
        <w:t xml:space="preserve"> </w:t>
      </w:r>
      <w:r w:rsidRPr="00A75E02">
        <w:rPr>
          <w:rFonts w:ascii="Times New Roman" w:hAnsi="Times New Roman"/>
          <w:i/>
          <w:sz w:val="24"/>
          <w:szCs w:val="24"/>
        </w:rPr>
        <w:t>measures</w:t>
      </w:r>
      <w:proofErr w:type="gramEnd"/>
      <w:r w:rsidRPr="00A75E02">
        <w:rPr>
          <w:rFonts w:ascii="Times New Roman" w:hAnsi="Times New Roman"/>
          <w:i/>
          <w:sz w:val="24"/>
          <w:szCs w:val="24"/>
        </w:rPr>
        <w:t xml:space="preserve"> to</w:t>
      </w:r>
      <w:r w:rsidR="001601D9">
        <w:rPr>
          <w:rFonts w:ascii="Times New Roman" w:hAnsi="Times New Roman"/>
          <w:i/>
          <w:sz w:val="24"/>
          <w:szCs w:val="24"/>
        </w:rPr>
        <w:t xml:space="preserve"> </w:t>
      </w:r>
      <w:r w:rsidRPr="00A75E02">
        <w:rPr>
          <w:rFonts w:ascii="Times New Roman" w:hAnsi="Times New Roman"/>
          <w:i/>
          <w:sz w:val="24"/>
          <w:szCs w:val="24"/>
        </w:rPr>
        <w:t>increase</w:t>
      </w:r>
      <w:r w:rsidR="001601D9">
        <w:rPr>
          <w:rFonts w:ascii="Times New Roman" w:hAnsi="Times New Roman"/>
          <w:i/>
          <w:sz w:val="24"/>
          <w:szCs w:val="24"/>
        </w:rPr>
        <w:t xml:space="preserve"> </w:t>
      </w:r>
      <w:r w:rsidRPr="00A75E02">
        <w:rPr>
          <w:rFonts w:ascii="Times New Roman" w:hAnsi="Times New Roman"/>
          <w:i/>
          <w:sz w:val="24"/>
          <w:szCs w:val="24"/>
        </w:rPr>
        <w:t>the</w:t>
      </w:r>
      <w:r w:rsidR="001601D9">
        <w:rPr>
          <w:rFonts w:ascii="Times New Roman" w:hAnsi="Times New Roman"/>
          <w:i/>
          <w:sz w:val="24"/>
          <w:szCs w:val="24"/>
        </w:rPr>
        <w:t xml:space="preserve"> </w:t>
      </w:r>
      <w:r w:rsidRPr="00A75E02">
        <w:rPr>
          <w:rFonts w:ascii="Times New Roman" w:hAnsi="Times New Roman"/>
          <w:i/>
          <w:sz w:val="24"/>
          <w:szCs w:val="24"/>
        </w:rPr>
        <w:t>confidence of</w:t>
      </w:r>
      <w:r w:rsidR="001601D9">
        <w:rPr>
          <w:rFonts w:ascii="Times New Roman" w:hAnsi="Times New Roman"/>
          <w:i/>
          <w:sz w:val="24"/>
          <w:szCs w:val="24"/>
        </w:rPr>
        <w:t xml:space="preserve"> </w:t>
      </w:r>
      <w:r w:rsidRPr="00A75E02">
        <w:rPr>
          <w:rFonts w:ascii="Times New Roman" w:hAnsi="Times New Roman"/>
          <w:i/>
          <w:sz w:val="24"/>
          <w:szCs w:val="24"/>
        </w:rPr>
        <w:t>vulnerable groups in the State party’s institutions and mechanisms responsible for addressing racist hate crimes.</w:t>
      </w:r>
    </w:p>
    <w:p w14:paraId="2CB2F3F9" w14:textId="4B27DEB7" w:rsidR="00E26FC5" w:rsidRPr="00A75E02" w:rsidRDefault="009457CD" w:rsidP="00E26FC5">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52</w:t>
      </w:r>
      <w:r w:rsidR="008D615C" w:rsidRPr="00A75E02">
        <w:rPr>
          <w:rFonts w:ascii="Times New Roman" w:hAnsi="Times New Roman"/>
          <w:sz w:val="24"/>
          <w:szCs w:val="24"/>
        </w:rPr>
        <w:t>. When implementing Directive 2012/29/EU of the European Parliament and of the Council of 25 October 2012 establishing minimum standards on the rights, support and protection of victims of crime, and replacing Council Framework Decision 2001/220/JHA, Law amending Articles 8, 9, 28, 43, 44, 128, 185, 186, 188, 214, 239, 272, 275, 276, 280, 283, 308 and Annex of the CCP of the Republic of Lithuania and supplementing it with Articles 27</w:t>
      </w:r>
      <w:r w:rsidR="008D615C" w:rsidRPr="00A75E02">
        <w:rPr>
          <w:rFonts w:ascii="Times New Roman" w:hAnsi="Times New Roman"/>
          <w:sz w:val="24"/>
          <w:szCs w:val="24"/>
          <w:vertAlign w:val="superscript"/>
        </w:rPr>
        <w:t>1</w:t>
      </w:r>
      <w:r w:rsidR="008D615C" w:rsidRPr="00A75E02">
        <w:rPr>
          <w:rFonts w:ascii="Times New Roman" w:hAnsi="Times New Roman"/>
          <w:sz w:val="24"/>
          <w:szCs w:val="24"/>
        </w:rPr>
        <w:t>, 36</w:t>
      </w:r>
      <w:r w:rsidR="008D615C" w:rsidRPr="00A75E02">
        <w:rPr>
          <w:rFonts w:ascii="Times New Roman" w:hAnsi="Times New Roman"/>
          <w:sz w:val="24"/>
          <w:szCs w:val="24"/>
          <w:vertAlign w:val="superscript"/>
        </w:rPr>
        <w:t>2</w:t>
      </w:r>
      <w:r w:rsidR="008D615C" w:rsidRPr="00A75E02">
        <w:rPr>
          <w:rFonts w:ascii="Times New Roman" w:hAnsi="Times New Roman"/>
          <w:sz w:val="24"/>
          <w:szCs w:val="24"/>
        </w:rPr>
        <w:t>, 56</w:t>
      </w:r>
      <w:r w:rsidR="008D615C" w:rsidRPr="00A75E02">
        <w:rPr>
          <w:rFonts w:ascii="Times New Roman" w:hAnsi="Times New Roman"/>
          <w:sz w:val="24"/>
          <w:szCs w:val="24"/>
          <w:vertAlign w:val="superscript"/>
        </w:rPr>
        <w:t>1</w:t>
      </w:r>
      <w:r w:rsidR="008D615C" w:rsidRPr="00A75E02">
        <w:rPr>
          <w:rFonts w:ascii="Times New Roman" w:hAnsi="Times New Roman"/>
          <w:sz w:val="24"/>
          <w:szCs w:val="24"/>
        </w:rPr>
        <w:t>, 186</w:t>
      </w:r>
      <w:r w:rsidR="008D615C" w:rsidRPr="00A75E02">
        <w:rPr>
          <w:rFonts w:ascii="Times New Roman" w:hAnsi="Times New Roman"/>
          <w:sz w:val="24"/>
          <w:szCs w:val="24"/>
          <w:vertAlign w:val="superscript"/>
        </w:rPr>
        <w:t>1</w:t>
      </w:r>
      <w:r w:rsidR="008D615C" w:rsidRPr="00A75E02">
        <w:rPr>
          <w:rFonts w:ascii="Times New Roman" w:hAnsi="Times New Roman"/>
          <w:sz w:val="24"/>
          <w:szCs w:val="24"/>
        </w:rPr>
        <w:t xml:space="preserve"> of 17 December 2015 broadened the concept of </w:t>
      </w:r>
      <w:r w:rsidR="00077F56" w:rsidRPr="00A75E02">
        <w:rPr>
          <w:rFonts w:ascii="Times New Roman" w:hAnsi="Times New Roman"/>
          <w:sz w:val="24"/>
          <w:szCs w:val="24"/>
        </w:rPr>
        <w:t>a</w:t>
      </w:r>
      <w:r w:rsidR="008D615C" w:rsidRPr="00A75E02">
        <w:rPr>
          <w:rFonts w:ascii="Times New Roman" w:hAnsi="Times New Roman"/>
          <w:sz w:val="24"/>
          <w:szCs w:val="24"/>
        </w:rPr>
        <w:t xml:space="preserve"> victim as well as rights conferred to </w:t>
      </w:r>
      <w:r w:rsidR="00ED6EC4" w:rsidRPr="00A75E02">
        <w:rPr>
          <w:rFonts w:ascii="Times New Roman" w:hAnsi="Times New Roman"/>
          <w:sz w:val="24"/>
          <w:szCs w:val="24"/>
        </w:rPr>
        <w:t>him/her</w:t>
      </w:r>
      <w:r w:rsidR="008D615C" w:rsidRPr="00A75E02">
        <w:rPr>
          <w:rFonts w:ascii="Times New Roman" w:hAnsi="Times New Roman"/>
          <w:sz w:val="24"/>
          <w:szCs w:val="24"/>
        </w:rPr>
        <w:t xml:space="preserve"> during the criminal proceedings.</w:t>
      </w:r>
      <w:proofErr w:type="gramEnd"/>
    </w:p>
    <w:p w14:paraId="68465E69" w14:textId="7B0A0D25" w:rsidR="00E26FC5" w:rsidRPr="00A75E02" w:rsidRDefault="009457CD" w:rsidP="00E26FC5">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bCs/>
          <w:sz w:val="24"/>
          <w:szCs w:val="24"/>
        </w:rPr>
        <w:t>53</w:t>
      </w:r>
      <w:r w:rsidR="008D615C" w:rsidRPr="00A75E02">
        <w:rPr>
          <w:rFonts w:ascii="Times New Roman" w:hAnsi="Times New Roman"/>
          <w:bCs/>
          <w:sz w:val="24"/>
          <w:szCs w:val="24"/>
        </w:rPr>
        <w:t>. In line with Article 28 of the</w:t>
      </w:r>
      <w:r w:rsidR="00B86364" w:rsidRPr="00A75E02">
        <w:rPr>
          <w:rFonts w:ascii="Times New Roman" w:hAnsi="Times New Roman"/>
          <w:bCs/>
          <w:sz w:val="24"/>
          <w:szCs w:val="24"/>
        </w:rPr>
        <w:t xml:space="preserve"> CCP currently in force, victim</w:t>
      </w:r>
      <w:r w:rsidR="008D615C" w:rsidRPr="00A75E02">
        <w:rPr>
          <w:rFonts w:ascii="Times New Roman" w:hAnsi="Times New Roman"/>
          <w:bCs/>
          <w:sz w:val="24"/>
          <w:szCs w:val="24"/>
        </w:rPr>
        <w:t xml:space="preserve"> shall be considered to be ‘a natural person who suffered physical, material or non-material damage because of a criminal offence, or a family member or a close relative of a natural person who has died because of criminal offence and who, due to the death of that person has suffered physical, material or non-material damage’.</w:t>
      </w:r>
      <w:proofErr w:type="gramEnd"/>
      <w:r w:rsidR="008D615C" w:rsidRPr="00A75E02">
        <w:rPr>
          <w:rFonts w:ascii="Times New Roman" w:hAnsi="Times New Roman"/>
          <w:bCs/>
          <w:sz w:val="24"/>
          <w:szCs w:val="24"/>
        </w:rPr>
        <w:t xml:space="preserve"> From 30 December </w:t>
      </w:r>
      <w:proofErr w:type="gramStart"/>
      <w:r w:rsidR="008D615C" w:rsidRPr="00A75E02">
        <w:rPr>
          <w:rFonts w:ascii="Times New Roman" w:hAnsi="Times New Roman"/>
          <w:bCs/>
          <w:sz w:val="24"/>
          <w:szCs w:val="24"/>
        </w:rPr>
        <w:t>2015</w:t>
      </w:r>
      <w:proofErr w:type="gramEnd"/>
      <w:r w:rsidR="008D615C" w:rsidRPr="00A75E02">
        <w:rPr>
          <w:rFonts w:ascii="Times New Roman" w:hAnsi="Times New Roman"/>
          <w:bCs/>
          <w:sz w:val="24"/>
          <w:szCs w:val="24"/>
        </w:rPr>
        <w:t xml:space="preserve"> a victim has been granted the right to receive information on the state of the criminal proceedings related to him or her and the right to participate in the assessment of his or her specific protection needs which he or she did not have before.</w:t>
      </w:r>
    </w:p>
    <w:p w14:paraId="6EA0E2DE" w14:textId="0CB317B3" w:rsidR="00E26FC5" w:rsidRPr="00A75E02" w:rsidRDefault="009457C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bCs/>
          <w:sz w:val="24"/>
          <w:szCs w:val="24"/>
        </w:rPr>
        <w:t>54</w:t>
      </w:r>
      <w:r w:rsidR="008D615C" w:rsidRPr="00A75E02">
        <w:rPr>
          <w:rFonts w:ascii="Times New Roman" w:hAnsi="Times New Roman"/>
          <w:bCs/>
          <w:sz w:val="24"/>
          <w:szCs w:val="24"/>
        </w:rPr>
        <w:t xml:space="preserve">. In addition, </w:t>
      </w:r>
      <w:r w:rsidR="001933E8" w:rsidRPr="00A75E02">
        <w:rPr>
          <w:rFonts w:ascii="Times New Roman" w:hAnsi="Times New Roman"/>
          <w:bCs/>
          <w:sz w:val="24"/>
          <w:szCs w:val="24"/>
        </w:rPr>
        <w:t>with the purpose of</w:t>
      </w:r>
      <w:r w:rsidR="008D615C" w:rsidRPr="00A75E02">
        <w:rPr>
          <w:rFonts w:ascii="Times New Roman" w:hAnsi="Times New Roman"/>
          <w:bCs/>
          <w:sz w:val="24"/>
          <w:szCs w:val="24"/>
        </w:rPr>
        <w:t xml:space="preserve"> implementing the above-mentioned directive the CCP </w:t>
      </w:r>
      <w:proofErr w:type="gramStart"/>
      <w:r w:rsidR="008D615C" w:rsidRPr="00A75E02">
        <w:rPr>
          <w:rFonts w:ascii="Times New Roman" w:hAnsi="Times New Roman"/>
          <w:bCs/>
          <w:sz w:val="24"/>
          <w:szCs w:val="24"/>
        </w:rPr>
        <w:t>was supplemented</w:t>
      </w:r>
      <w:proofErr w:type="gramEnd"/>
      <w:r w:rsidR="008D615C" w:rsidRPr="00A75E02">
        <w:rPr>
          <w:rFonts w:ascii="Times New Roman" w:hAnsi="Times New Roman"/>
          <w:bCs/>
          <w:sz w:val="24"/>
          <w:szCs w:val="24"/>
        </w:rPr>
        <w:t xml:space="preserve"> by Articles 36</w:t>
      </w:r>
      <w:r w:rsidR="008D615C" w:rsidRPr="00A75E02">
        <w:rPr>
          <w:rFonts w:ascii="Times New Roman" w:hAnsi="Times New Roman"/>
          <w:bCs/>
          <w:sz w:val="24"/>
          <w:szCs w:val="24"/>
          <w:vertAlign w:val="superscript"/>
        </w:rPr>
        <w:t>2</w:t>
      </w:r>
      <w:r w:rsidR="008D615C" w:rsidRPr="00A75E02">
        <w:rPr>
          <w:rFonts w:ascii="Times New Roman" w:hAnsi="Times New Roman"/>
          <w:bCs/>
          <w:sz w:val="24"/>
          <w:szCs w:val="24"/>
        </w:rPr>
        <w:t xml:space="preserve"> and 186</w:t>
      </w:r>
      <w:r w:rsidR="008D615C" w:rsidRPr="00A75E02">
        <w:rPr>
          <w:rFonts w:ascii="Times New Roman" w:hAnsi="Times New Roman"/>
          <w:bCs/>
          <w:sz w:val="24"/>
          <w:szCs w:val="24"/>
          <w:vertAlign w:val="superscript"/>
        </w:rPr>
        <w:t>1</w:t>
      </w:r>
      <w:r w:rsidR="00B86364" w:rsidRPr="00A75E02">
        <w:rPr>
          <w:rFonts w:ascii="Times New Roman" w:hAnsi="Times New Roman"/>
          <w:bCs/>
          <w:sz w:val="24"/>
          <w:szCs w:val="24"/>
        </w:rPr>
        <w:t xml:space="preserve"> </w:t>
      </w:r>
      <w:r w:rsidR="006825A1" w:rsidRPr="00A75E02">
        <w:rPr>
          <w:rFonts w:ascii="Times New Roman" w:hAnsi="Times New Roman"/>
          <w:bCs/>
          <w:sz w:val="24"/>
          <w:szCs w:val="24"/>
        </w:rPr>
        <w:t>governing</w:t>
      </w:r>
      <w:r w:rsidR="008D615C" w:rsidRPr="00A75E02">
        <w:rPr>
          <w:rFonts w:ascii="Times New Roman" w:hAnsi="Times New Roman"/>
          <w:bCs/>
          <w:sz w:val="24"/>
          <w:szCs w:val="24"/>
        </w:rPr>
        <w:t xml:space="preserve"> the assessment of specific protection needs of a victim. </w:t>
      </w:r>
      <w:r w:rsidR="008D615C" w:rsidRPr="00A75E02">
        <w:rPr>
          <w:rFonts w:ascii="Times New Roman" w:hAnsi="Times New Roman"/>
          <w:sz w:val="24"/>
          <w:szCs w:val="24"/>
        </w:rPr>
        <w:t>Article 36</w:t>
      </w:r>
      <w:r w:rsidR="008D615C" w:rsidRPr="00A75E02">
        <w:rPr>
          <w:rFonts w:ascii="Times New Roman" w:hAnsi="Times New Roman"/>
          <w:sz w:val="24"/>
          <w:szCs w:val="24"/>
          <w:vertAlign w:val="superscript"/>
        </w:rPr>
        <w:t>2</w:t>
      </w:r>
      <w:r w:rsidR="008D615C" w:rsidRPr="00A75E02">
        <w:rPr>
          <w:rFonts w:ascii="Times New Roman" w:hAnsi="Times New Roman"/>
          <w:sz w:val="24"/>
          <w:szCs w:val="24"/>
        </w:rPr>
        <w:t xml:space="preserve"> of the CCP defines specific protection needs as victim’s needs to make use of guarantees laid down in the CCP </w:t>
      </w:r>
      <w:r w:rsidR="00D335DF" w:rsidRPr="00A75E02">
        <w:rPr>
          <w:rFonts w:ascii="Times New Roman" w:hAnsi="Times New Roman"/>
          <w:sz w:val="24"/>
          <w:szCs w:val="24"/>
        </w:rPr>
        <w:t>which</w:t>
      </w:r>
      <w:r w:rsidR="008D615C" w:rsidRPr="00A75E02">
        <w:rPr>
          <w:rFonts w:ascii="Times New Roman" w:hAnsi="Times New Roman"/>
          <w:sz w:val="24"/>
          <w:szCs w:val="24"/>
        </w:rPr>
        <w:t xml:space="preserve"> are determined by personal characteristics,</w:t>
      </w:r>
      <w:r w:rsidR="001601D9">
        <w:rPr>
          <w:rFonts w:ascii="Times New Roman" w:hAnsi="Times New Roman"/>
          <w:sz w:val="24"/>
          <w:szCs w:val="24"/>
        </w:rPr>
        <w:t xml:space="preserve"> </w:t>
      </w:r>
      <w:r w:rsidR="008D615C" w:rsidRPr="00A75E02">
        <w:rPr>
          <w:rFonts w:ascii="Times New Roman" w:hAnsi="Times New Roman"/>
          <w:sz w:val="24"/>
          <w:szCs w:val="24"/>
        </w:rPr>
        <w:t>nature of the offence or circumstances of the offence and ensure victim’s protection from mental harm, criminal impact or other negative effects. Thus, to achieve these goals, the Recommendations on the assessment of victims’ specific protection need</w:t>
      </w:r>
      <w:r w:rsidR="00B86364" w:rsidRPr="00A75E02">
        <w:rPr>
          <w:rFonts w:ascii="Times New Roman" w:hAnsi="Times New Roman"/>
          <w:sz w:val="24"/>
          <w:szCs w:val="24"/>
        </w:rPr>
        <w:t xml:space="preserve">s </w:t>
      </w:r>
      <w:proofErr w:type="gramStart"/>
      <w:r w:rsidR="00B86364" w:rsidRPr="00A75E02">
        <w:rPr>
          <w:rFonts w:ascii="Times New Roman" w:hAnsi="Times New Roman"/>
          <w:sz w:val="24"/>
          <w:szCs w:val="24"/>
        </w:rPr>
        <w:t>were approved</w:t>
      </w:r>
      <w:proofErr w:type="gramEnd"/>
      <w:r w:rsidR="00B86364" w:rsidRPr="00A75E02">
        <w:rPr>
          <w:rFonts w:ascii="Times New Roman" w:hAnsi="Times New Roman"/>
          <w:sz w:val="24"/>
          <w:szCs w:val="24"/>
        </w:rPr>
        <w:t xml:space="preserve"> by the Order No</w:t>
      </w:r>
      <w:r w:rsidR="008D615C" w:rsidRPr="00A75E02">
        <w:rPr>
          <w:rFonts w:ascii="Times New Roman" w:hAnsi="Times New Roman"/>
          <w:sz w:val="24"/>
          <w:szCs w:val="24"/>
        </w:rPr>
        <w:t xml:space="preserve"> I-63 of the Prosecutor General of the Republic of Lithuania of 29 February 2016. These Recommendations set out the arrangements for the assessment of victims’ specific protection needs referred to in Article 362 of the CCP and factual grounds for the application of special protection measures. These Recommendations </w:t>
      </w:r>
      <w:r w:rsidR="00C87230" w:rsidRPr="00A75E02">
        <w:rPr>
          <w:rFonts w:ascii="Times New Roman" w:hAnsi="Times New Roman"/>
          <w:sz w:val="24"/>
          <w:szCs w:val="24"/>
        </w:rPr>
        <w:t>provide</w:t>
      </w:r>
      <w:r w:rsidR="008D615C" w:rsidRPr="00A75E02">
        <w:rPr>
          <w:rFonts w:ascii="Times New Roman" w:hAnsi="Times New Roman"/>
          <w:sz w:val="24"/>
          <w:szCs w:val="24"/>
        </w:rPr>
        <w:t xml:space="preserve"> that special protection measures, such as participation of an accompanying person and interviews conducted by an official of the same sex as the victim, may be available to the victims in proceedings related to discrimination or hatred on the grounds of se</w:t>
      </w:r>
      <w:r w:rsidR="00B86364" w:rsidRPr="00A75E02">
        <w:rPr>
          <w:rFonts w:ascii="Times New Roman" w:hAnsi="Times New Roman"/>
          <w:sz w:val="24"/>
          <w:szCs w:val="24"/>
        </w:rPr>
        <w:t>x. In addition, in each case a</w:t>
      </w:r>
      <w:r w:rsidR="008D615C" w:rsidRPr="00A75E02">
        <w:rPr>
          <w:rFonts w:ascii="Times New Roman" w:hAnsi="Times New Roman"/>
          <w:sz w:val="24"/>
          <w:szCs w:val="24"/>
        </w:rPr>
        <w:t xml:space="preserve"> decision on the application of special protection measures to victims’ of a criminal offence </w:t>
      </w:r>
      <w:proofErr w:type="gramStart"/>
      <w:r w:rsidR="008D615C" w:rsidRPr="00A75E02">
        <w:rPr>
          <w:rFonts w:ascii="Times New Roman" w:hAnsi="Times New Roman"/>
          <w:sz w:val="24"/>
          <w:szCs w:val="24"/>
        </w:rPr>
        <w:t xml:space="preserve">may be </w:t>
      </w:r>
      <w:r w:rsidR="00015FEA" w:rsidRPr="00A75E02">
        <w:rPr>
          <w:rFonts w:ascii="Times New Roman" w:hAnsi="Times New Roman"/>
          <w:sz w:val="24"/>
          <w:szCs w:val="24"/>
        </w:rPr>
        <w:t>delivered</w:t>
      </w:r>
      <w:proofErr w:type="gramEnd"/>
      <w:r w:rsidR="008D615C" w:rsidRPr="00A75E02">
        <w:rPr>
          <w:rFonts w:ascii="Times New Roman" w:hAnsi="Times New Roman"/>
          <w:sz w:val="24"/>
          <w:szCs w:val="24"/>
        </w:rPr>
        <w:t xml:space="preserve"> individually taking into account their vulnerability. The Recommendations </w:t>
      </w:r>
      <w:proofErr w:type="gramStart"/>
      <w:r w:rsidR="008D615C" w:rsidRPr="00A75E02">
        <w:rPr>
          <w:rFonts w:ascii="Times New Roman" w:hAnsi="Times New Roman"/>
          <w:sz w:val="24"/>
          <w:szCs w:val="24"/>
        </w:rPr>
        <w:t>are published</w:t>
      </w:r>
      <w:proofErr w:type="gramEnd"/>
      <w:r w:rsidR="008D615C" w:rsidRPr="00A75E02">
        <w:rPr>
          <w:rFonts w:ascii="Times New Roman" w:hAnsi="Times New Roman"/>
          <w:sz w:val="24"/>
          <w:szCs w:val="24"/>
        </w:rPr>
        <w:t xml:space="preserve"> on the internet website of the Prosecutor’s Office and are applied in </w:t>
      </w:r>
      <w:r w:rsidR="008D615C" w:rsidRPr="00A75E02">
        <w:rPr>
          <w:rFonts w:ascii="Times New Roman" w:hAnsi="Times New Roman"/>
          <w:sz w:val="24"/>
          <w:szCs w:val="24"/>
        </w:rPr>
        <w:lastRenderedPageBreak/>
        <w:t xml:space="preserve">practice by prosecutors and officers </w:t>
      </w:r>
      <w:r w:rsidR="00F16EC2" w:rsidRPr="00A75E02">
        <w:rPr>
          <w:rFonts w:ascii="Times New Roman" w:hAnsi="Times New Roman"/>
          <w:sz w:val="24"/>
          <w:szCs w:val="24"/>
        </w:rPr>
        <w:t>of</w:t>
      </w:r>
      <w:r w:rsidR="008D615C" w:rsidRPr="00A75E02">
        <w:rPr>
          <w:rFonts w:ascii="Times New Roman" w:hAnsi="Times New Roman"/>
          <w:sz w:val="24"/>
          <w:szCs w:val="24"/>
        </w:rPr>
        <w:t xml:space="preserve"> pre</w:t>
      </w:r>
      <w:r w:rsidR="00B86364" w:rsidRPr="00A75E02">
        <w:rPr>
          <w:rFonts w:ascii="Times New Roman" w:hAnsi="Times New Roman"/>
          <w:sz w:val="24"/>
          <w:szCs w:val="24"/>
        </w:rPr>
        <w:t>-</w:t>
      </w:r>
      <w:r w:rsidR="008D615C" w:rsidRPr="00A75E02">
        <w:rPr>
          <w:rFonts w:ascii="Times New Roman" w:hAnsi="Times New Roman"/>
          <w:sz w:val="24"/>
          <w:szCs w:val="24"/>
        </w:rPr>
        <w:t>trial investigation institutions in conducting pre</w:t>
      </w:r>
      <w:r w:rsidR="00B86364" w:rsidRPr="00A75E02">
        <w:rPr>
          <w:rFonts w:ascii="Times New Roman" w:hAnsi="Times New Roman"/>
          <w:sz w:val="24"/>
          <w:szCs w:val="24"/>
        </w:rPr>
        <w:t>-</w:t>
      </w:r>
      <w:r w:rsidR="008D615C" w:rsidRPr="00A75E02">
        <w:rPr>
          <w:rFonts w:ascii="Times New Roman" w:hAnsi="Times New Roman"/>
          <w:sz w:val="24"/>
          <w:szCs w:val="24"/>
        </w:rPr>
        <w:t>trial investigations.</w:t>
      </w:r>
    </w:p>
    <w:p w14:paraId="2D2C611A" w14:textId="77777777" w:rsidR="00F000F7" w:rsidRPr="00A75E02" w:rsidRDefault="00195DF7"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 xml:space="preserve">In the light of its general recommendation No. 7, the Committee recommends that appropriate and effective measures </w:t>
      </w:r>
      <w:proofErr w:type="gramStart"/>
      <w:r w:rsidRPr="00A75E02">
        <w:rPr>
          <w:rFonts w:ascii="Times New Roman" w:hAnsi="Times New Roman"/>
          <w:i/>
          <w:sz w:val="24"/>
          <w:szCs w:val="24"/>
        </w:rPr>
        <w:t>be taken</w:t>
      </w:r>
      <w:proofErr w:type="gramEnd"/>
      <w:r w:rsidRPr="00A75E02">
        <w:rPr>
          <w:rFonts w:ascii="Times New Roman" w:hAnsi="Times New Roman"/>
          <w:i/>
          <w:sz w:val="24"/>
          <w:szCs w:val="24"/>
        </w:rPr>
        <w:t xml:space="preserve"> by the authorities to ensure that public demonstrations do not degenerate into racist, xenophobic and anti-Semitic activities and propaganda by persons or groups. The Committee also recommends that the State party apply its criminal legislation and, as appropriate, carry out investigations and prosecute the individuals or groups responsible, and consider dissolving such organizations in accordance with Law No. XI-330 of July 2009 and article 4 of the Convention.</w:t>
      </w:r>
    </w:p>
    <w:p w14:paraId="1A95DF11" w14:textId="657B5129" w:rsidR="00195DF7" w:rsidRPr="00A75E02" w:rsidRDefault="009457C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55</w:t>
      </w:r>
      <w:r w:rsidR="001F782E" w:rsidRPr="00A75E02">
        <w:rPr>
          <w:rFonts w:ascii="Times New Roman" w:hAnsi="Times New Roman"/>
          <w:sz w:val="24"/>
          <w:szCs w:val="24"/>
        </w:rPr>
        <w:t>. The right to</w:t>
      </w:r>
      <w:r w:rsidR="00781E01">
        <w:rPr>
          <w:rFonts w:ascii="Times New Roman" w:hAnsi="Times New Roman"/>
          <w:sz w:val="24"/>
          <w:szCs w:val="24"/>
        </w:rPr>
        <w:t xml:space="preserve"> peaceful assembly</w:t>
      </w:r>
      <w:r w:rsidR="001F782E" w:rsidRPr="00A75E02">
        <w:rPr>
          <w:rFonts w:ascii="Times New Roman" w:hAnsi="Times New Roman"/>
          <w:sz w:val="24"/>
          <w:szCs w:val="24"/>
        </w:rPr>
        <w:t xml:space="preserve"> is enshrined in Article 36 of the Constitution of the Republic of Lithuania. The State is under an obligation to ensure the freedom of assembly and expression. The freedom of expression </w:t>
      </w:r>
      <w:proofErr w:type="gramStart"/>
      <w:r w:rsidR="001F782E" w:rsidRPr="00A75E02">
        <w:rPr>
          <w:rFonts w:ascii="Times New Roman" w:hAnsi="Times New Roman"/>
          <w:sz w:val="24"/>
          <w:szCs w:val="24"/>
        </w:rPr>
        <w:t>shall be ensured</w:t>
      </w:r>
      <w:proofErr w:type="gramEnd"/>
      <w:r w:rsidR="001F782E" w:rsidRPr="00A75E02">
        <w:rPr>
          <w:rFonts w:ascii="Times New Roman" w:hAnsi="Times New Roman"/>
          <w:sz w:val="24"/>
          <w:szCs w:val="24"/>
        </w:rPr>
        <w:t xml:space="preserve"> even if such expressions are triggering and s</w:t>
      </w:r>
      <w:r w:rsidR="007533BA">
        <w:rPr>
          <w:rFonts w:ascii="Times New Roman" w:hAnsi="Times New Roman"/>
          <w:sz w:val="24"/>
          <w:szCs w:val="24"/>
        </w:rPr>
        <w:t xml:space="preserve">hocking. </w:t>
      </w:r>
      <w:proofErr w:type="gramStart"/>
      <w:r w:rsidR="007533BA">
        <w:rPr>
          <w:rFonts w:ascii="Times New Roman" w:hAnsi="Times New Roman"/>
          <w:sz w:val="24"/>
          <w:szCs w:val="24"/>
        </w:rPr>
        <w:t>H</w:t>
      </w:r>
      <w:r w:rsidR="00B86364" w:rsidRPr="00A75E02">
        <w:rPr>
          <w:rFonts w:ascii="Times New Roman" w:hAnsi="Times New Roman"/>
          <w:sz w:val="24"/>
          <w:szCs w:val="24"/>
        </w:rPr>
        <w:t>owever, in line with</w:t>
      </w:r>
      <w:r w:rsidR="001F782E" w:rsidRPr="00A75E02">
        <w:rPr>
          <w:rFonts w:ascii="Times New Roman" w:hAnsi="Times New Roman"/>
          <w:sz w:val="24"/>
          <w:szCs w:val="24"/>
        </w:rPr>
        <w:t xml:space="preserve"> the International Covenant on Civil and Political Rights</w:t>
      </w:r>
      <w:r w:rsidR="007533BA">
        <w:rPr>
          <w:rFonts w:ascii="Times New Roman" w:hAnsi="Times New Roman"/>
          <w:sz w:val="24"/>
          <w:szCs w:val="24"/>
        </w:rPr>
        <w:t>,</w:t>
      </w:r>
      <w:r w:rsidR="00137636">
        <w:rPr>
          <w:rFonts w:ascii="Times New Roman" w:hAnsi="Times New Roman"/>
          <w:sz w:val="24"/>
          <w:szCs w:val="24"/>
        </w:rPr>
        <w:t xml:space="preserve"> restrictions on</w:t>
      </w:r>
      <w:r w:rsidR="001F782E" w:rsidRPr="00A75E02">
        <w:rPr>
          <w:rFonts w:ascii="Times New Roman" w:hAnsi="Times New Roman"/>
          <w:sz w:val="24"/>
          <w:szCs w:val="24"/>
        </w:rPr>
        <w:t xml:space="preserve"> the freedom of assembly</w:t>
      </w:r>
      <w:r w:rsidR="00137636">
        <w:rPr>
          <w:rFonts w:ascii="Times New Roman" w:hAnsi="Times New Roman"/>
          <w:sz w:val="24"/>
          <w:szCs w:val="24"/>
        </w:rPr>
        <w:t xml:space="preserve"> can be imposed in conformity with the law which is necessary in a democratic society in the interests of national security or public safety, public order, the protection of public health or morals or the protection of the rights of freedoms of others</w:t>
      </w:r>
      <w:r w:rsidR="001F782E" w:rsidRPr="00A75E02">
        <w:rPr>
          <w:rFonts w:ascii="Times New Roman" w:hAnsi="Times New Roman"/>
          <w:sz w:val="24"/>
          <w:szCs w:val="24"/>
        </w:rPr>
        <w:t>.</w:t>
      </w:r>
      <w:proofErr w:type="gramEnd"/>
      <w:r w:rsidR="001F782E" w:rsidRPr="00A75E02">
        <w:rPr>
          <w:rFonts w:ascii="Times New Roman" w:hAnsi="Times New Roman"/>
          <w:sz w:val="24"/>
          <w:szCs w:val="24"/>
        </w:rPr>
        <w:t xml:space="preserve"> Article 5 of the Law on Meetings of the Republic of Lithuania </w:t>
      </w:r>
      <w:r w:rsidR="00186727">
        <w:rPr>
          <w:rFonts w:ascii="Times New Roman" w:hAnsi="Times New Roman"/>
          <w:sz w:val="24"/>
          <w:szCs w:val="24"/>
        </w:rPr>
        <w:t>defines</w:t>
      </w:r>
      <w:r w:rsidR="001F782E" w:rsidRPr="00A75E02">
        <w:rPr>
          <w:rFonts w:ascii="Times New Roman" w:hAnsi="Times New Roman"/>
          <w:sz w:val="24"/>
          <w:szCs w:val="24"/>
        </w:rPr>
        <w:t xml:space="preserve"> the acts that </w:t>
      </w:r>
      <w:proofErr w:type="gramStart"/>
      <w:r w:rsidR="001F782E" w:rsidRPr="00A75E02">
        <w:rPr>
          <w:rFonts w:ascii="Times New Roman" w:hAnsi="Times New Roman"/>
          <w:sz w:val="24"/>
          <w:szCs w:val="24"/>
        </w:rPr>
        <w:t>are prohibited</w:t>
      </w:r>
      <w:proofErr w:type="gramEnd"/>
      <w:r w:rsidR="00186727">
        <w:rPr>
          <w:rFonts w:ascii="Times New Roman" w:hAnsi="Times New Roman"/>
          <w:sz w:val="24"/>
          <w:szCs w:val="24"/>
        </w:rPr>
        <w:t xml:space="preserve"> by Law</w:t>
      </w:r>
      <w:r w:rsidR="001F782E" w:rsidRPr="00A75E02">
        <w:rPr>
          <w:rFonts w:ascii="Times New Roman" w:hAnsi="Times New Roman"/>
          <w:sz w:val="24"/>
          <w:szCs w:val="24"/>
        </w:rPr>
        <w:t xml:space="preserve"> during </w:t>
      </w:r>
      <w:r w:rsidR="00186727">
        <w:rPr>
          <w:rFonts w:ascii="Times New Roman" w:hAnsi="Times New Roman"/>
          <w:sz w:val="24"/>
          <w:szCs w:val="24"/>
        </w:rPr>
        <w:t>public</w:t>
      </w:r>
      <w:r w:rsidR="001F782E" w:rsidRPr="00A75E02">
        <w:rPr>
          <w:rFonts w:ascii="Times New Roman" w:hAnsi="Times New Roman"/>
          <w:sz w:val="24"/>
          <w:szCs w:val="24"/>
        </w:rPr>
        <w:t xml:space="preserve"> meeting</w:t>
      </w:r>
      <w:r w:rsidR="00186727">
        <w:rPr>
          <w:rFonts w:ascii="Times New Roman" w:hAnsi="Times New Roman"/>
          <w:sz w:val="24"/>
          <w:szCs w:val="24"/>
        </w:rPr>
        <w:t>s</w:t>
      </w:r>
      <w:r w:rsidR="001F782E" w:rsidRPr="00A75E02">
        <w:rPr>
          <w:rFonts w:ascii="Times New Roman" w:hAnsi="Times New Roman"/>
          <w:sz w:val="24"/>
          <w:szCs w:val="24"/>
        </w:rPr>
        <w:t xml:space="preserve">. </w:t>
      </w:r>
      <w:proofErr w:type="gramStart"/>
      <w:r w:rsidR="001F782E" w:rsidRPr="00A75E02">
        <w:rPr>
          <w:rFonts w:ascii="Times New Roman" w:hAnsi="Times New Roman"/>
          <w:sz w:val="24"/>
          <w:szCs w:val="24"/>
        </w:rPr>
        <w:t xml:space="preserve">Such prohibited acts include </w:t>
      </w:r>
      <w:r w:rsidR="00132B44">
        <w:rPr>
          <w:rFonts w:ascii="Times New Roman" w:hAnsi="Times New Roman"/>
          <w:sz w:val="24"/>
          <w:szCs w:val="24"/>
        </w:rPr>
        <w:t>evident instigation to violate</w:t>
      </w:r>
      <w:r w:rsidR="001F782E" w:rsidRPr="00A75E02">
        <w:rPr>
          <w:rFonts w:ascii="Times New Roman" w:hAnsi="Times New Roman"/>
          <w:sz w:val="24"/>
          <w:szCs w:val="24"/>
        </w:rPr>
        <w:t xml:space="preserve"> the Constitution or laws of the Republic of Lithuania, </w:t>
      </w:r>
      <w:r w:rsidR="00687A00" w:rsidRPr="00A75E02">
        <w:rPr>
          <w:rFonts w:ascii="Times New Roman" w:hAnsi="Times New Roman"/>
          <w:sz w:val="24"/>
          <w:szCs w:val="24"/>
        </w:rPr>
        <w:t>violation</w:t>
      </w:r>
      <w:r w:rsidR="001F782E" w:rsidRPr="00A75E02">
        <w:rPr>
          <w:rFonts w:ascii="Times New Roman" w:hAnsi="Times New Roman"/>
          <w:sz w:val="24"/>
          <w:szCs w:val="24"/>
        </w:rPr>
        <w:t xml:space="preserve"> of norms of nobility, high morality an</w:t>
      </w:r>
      <w:r w:rsidR="007533BA">
        <w:rPr>
          <w:rFonts w:ascii="Times New Roman" w:hAnsi="Times New Roman"/>
          <w:sz w:val="24"/>
          <w:szCs w:val="24"/>
        </w:rPr>
        <w:t>d ethics, display of the flag,</w:t>
      </w:r>
      <w:r w:rsidR="001F782E" w:rsidRPr="00A75E02">
        <w:rPr>
          <w:rFonts w:ascii="Times New Roman" w:hAnsi="Times New Roman"/>
          <w:sz w:val="24"/>
          <w:szCs w:val="24"/>
        </w:rPr>
        <w:t xml:space="preserve"> </w:t>
      </w:r>
      <w:r w:rsidR="00132B44">
        <w:rPr>
          <w:rFonts w:ascii="Times New Roman" w:hAnsi="Times New Roman"/>
          <w:sz w:val="24"/>
          <w:szCs w:val="24"/>
        </w:rPr>
        <w:t>state emblem</w:t>
      </w:r>
      <w:r w:rsidR="007533BA">
        <w:rPr>
          <w:rFonts w:ascii="Times New Roman" w:hAnsi="Times New Roman"/>
          <w:sz w:val="24"/>
          <w:szCs w:val="24"/>
        </w:rPr>
        <w:t>, a</w:t>
      </w:r>
      <w:r w:rsidR="00186727" w:rsidRPr="00A75E02">
        <w:rPr>
          <w:rFonts w:ascii="Times New Roman" w:hAnsi="Times New Roman"/>
          <w:sz w:val="24"/>
          <w:szCs w:val="24"/>
        </w:rPr>
        <w:t xml:space="preserve"> sign, uniform and other related symbols</w:t>
      </w:r>
      <w:r w:rsidR="001F782E" w:rsidRPr="00A75E02">
        <w:rPr>
          <w:rFonts w:ascii="Times New Roman" w:hAnsi="Times New Roman"/>
          <w:sz w:val="24"/>
          <w:szCs w:val="24"/>
        </w:rPr>
        <w:t xml:space="preserve"> of Nazi Germany, the USSR or the Lithuanian SSR, and </w:t>
      </w:r>
      <w:r w:rsidR="00F86DDF">
        <w:rPr>
          <w:rFonts w:ascii="Times New Roman" w:hAnsi="Times New Roman"/>
          <w:sz w:val="24"/>
          <w:szCs w:val="24"/>
        </w:rPr>
        <w:t>intention</w:t>
      </w:r>
      <w:r w:rsidR="001F782E" w:rsidRPr="00A75E02">
        <w:rPr>
          <w:rFonts w:ascii="Times New Roman" w:hAnsi="Times New Roman"/>
          <w:sz w:val="24"/>
          <w:szCs w:val="24"/>
        </w:rPr>
        <w:t xml:space="preserve"> in </w:t>
      </w:r>
      <w:r w:rsidR="001A2B7B">
        <w:rPr>
          <w:rFonts w:ascii="Times New Roman" w:hAnsi="Times New Roman"/>
          <w:sz w:val="24"/>
          <w:szCs w:val="24"/>
        </w:rPr>
        <w:t>any</w:t>
      </w:r>
      <w:r w:rsidR="001F782E" w:rsidRPr="00A75E02">
        <w:rPr>
          <w:rFonts w:ascii="Times New Roman" w:hAnsi="Times New Roman"/>
          <w:sz w:val="24"/>
          <w:szCs w:val="24"/>
        </w:rPr>
        <w:t xml:space="preserve"> manner to commit criminal offences specified in the CC of the Republic of Lithuania or commitment of them.</w:t>
      </w:r>
      <w:proofErr w:type="gramEnd"/>
      <w:r w:rsidR="001F782E" w:rsidRPr="00A75E02">
        <w:rPr>
          <w:rFonts w:ascii="Times New Roman" w:hAnsi="Times New Roman"/>
          <w:sz w:val="24"/>
          <w:szCs w:val="24"/>
        </w:rPr>
        <w:t xml:space="preserve"> </w:t>
      </w:r>
      <w:proofErr w:type="gramStart"/>
      <w:r w:rsidR="001F782E" w:rsidRPr="00A75E02">
        <w:rPr>
          <w:rFonts w:ascii="Times New Roman" w:hAnsi="Times New Roman"/>
          <w:sz w:val="24"/>
          <w:szCs w:val="24"/>
        </w:rPr>
        <w:t>Police officers may terminate a</w:t>
      </w:r>
      <w:r w:rsidR="00F86DDF">
        <w:rPr>
          <w:rFonts w:ascii="Times New Roman" w:hAnsi="Times New Roman"/>
          <w:sz w:val="24"/>
          <w:szCs w:val="24"/>
        </w:rPr>
        <w:t xml:space="preserve"> public</w:t>
      </w:r>
      <w:r w:rsidR="001F782E" w:rsidRPr="00A75E02">
        <w:rPr>
          <w:rFonts w:ascii="Times New Roman" w:hAnsi="Times New Roman"/>
          <w:sz w:val="24"/>
          <w:szCs w:val="24"/>
        </w:rPr>
        <w:t xml:space="preserve"> meeting or an individual action </w:t>
      </w:r>
      <w:r w:rsidR="00EB0E3A" w:rsidRPr="00A75E02">
        <w:rPr>
          <w:rFonts w:ascii="Times New Roman" w:hAnsi="Times New Roman"/>
          <w:sz w:val="24"/>
          <w:szCs w:val="24"/>
        </w:rPr>
        <w:t xml:space="preserve">of a person </w:t>
      </w:r>
      <w:r w:rsidR="00F86DDF">
        <w:rPr>
          <w:rFonts w:ascii="Times New Roman" w:hAnsi="Times New Roman"/>
          <w:sz w:val="24"/>
          <w:szCs w:val="24"/>
        </w:rPr>
        <w:t>when the participants violate public order</w:t>
      </w:r>
      <w:r w:rsidR="001A2B7B">
        <w:rPr>
          <w:rFonts w:ascii="Times New Roman" w:hAnsi="Times New Roman"/>
          <w:sz w:val="24"/>
          <w:szCs w:val="24"/>
        </w:rPr>
        <w:t xml:space="preserve">, attempt to commit or </w:t>
      </w:r>
      <w:r w:rsidR="001F782E" w:rsidRPr="00A75E02">
        <w:rPr>
          <w:rFonts w:ascii="Times New Roman" w:hAnsi="Times New Roman"/>
          <w:sz w:val="24"/>
          <w:szCs w:val="24"/>
        </w:rPr>
        <w:t>commit crimes against the independence, territorial integrity and constitutional</w:t>
      </w:r>
      <w:r w:rsidR="00F86DDF">
        <w:rPr>
          <w:rFonts w:ascii="Times New Roman" w:hAnsi="Times New Roman"/>
          <w:sz w:val="24"/>
          <w:szCs w:val="24"/>
        </w:rPr>
        <w:t xml:space="preserve"> order of the State</w:t>
      </w:r>
      <w:r w:rsidR="001F782E" w:rsidRPr="00A75E02">
        <w:rPr>
          <w:rFonts w:ascii="Times New Roman" w:hAnsi="Times New Roman"/>
          <w:sz w:val="24"/>
          <w:szCs w:val="24"/>
        </w:rPr>
        <w:t xml:space="preserve">, or other </w:t>
      </w:r>
      <w:r w:rsidR="001A2B7B">
        <w:rPr>
          <w:rFonts w:ascii="Times New Roman" w:hAnsi="Times New Roman"/>
          <w:sz w:val="24"/>
          <w:szCs w:val="24"/>
        </w:rPr>
        <w:t>intentional</w:t>
      </w:r>
      <w:r w:rsidR="001F782E" w:rsidRPr="00A75E02">
        <w:rPr>
          <w:rFonts w:ascii="Times New Roman" w:hAnsi="Times New Roman"/>
          <w:sz w:val="24"/>
          <w:szCs w:val="24"/>
        </w:rPr>
        <w:t xml:space="preserve"> criminal acts against human life, health, liberty, principles of moral</w:t>
      </w:r>
      <w:r w:rsidR="00421908">
        <w:rPr>
          <w:rFonts w:ascii="Times New Roman" w:hAnsi="Times New Roman"/>
          <w:sz w:val="24"/>
          <w:szCs w:val="24"/>
        </w:rPr>
        <w:t>ity enshrined in the legal acts</w:t>
      </w:r>
      <w:r w:rsidR="001F782E" w:rsidRPr="00A75E02">
        <w:rPr>
          <w:rFonts w:ascii="Times New Roman" w:hAnsi="Times New Roman"/>
          <w:sz w:val="24"/>
          <w:szCs w:val="24"/>
        </w:rPr>
        <w:t>, property, person</w:t>
      </w:r>
      <w:r w:rsidR="00D96141" w:rsidRPr="00A75E02">
        <w:rPr>
          <w:rFonts w:ascii="Times New Roman" w:hAnsi="Times New Roman"/>
          <w:sz w:val="24"/>
          <w:szCs w:val="24"/>
        </w:rPr>
        <w:t>’</w:t>
      </w:r>
      <w:r w:rsidR="001F782E" w:rsidRPr="00A75E02">
        <w:rPr>
          <w:rFonts w:ascii="Times New Roman" w:hAnsi="Times New Roman"/>
          <w:sz w:val="24"/>
          <w:szCs w:val="24"/>
        </w:rPr>
        <w:t>s dignity and honour, public security and public order.</w:t>
      </w:r>
      <w:proofErr w:type="gramEnd"/>
    </w:p>
    <w:p w14:paraId="029B40A2" w14:textId="01262F72" w:rsidR="00734577" w:rsidRPr="00A75E02" w:rsidRDefault="009457CD" w:rsidP="00742FA3">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56</w:t>
      </w:r>
      <w:r w:rsidR="004263C1" w:rsidRPr="00A75E02">
        <w:rPr>
          <w:rFonts w:ascii="Times New Roman" w:hAnsi="Times New Roman"/>
          <w:sz w:val="24"/>
          <w:szCs w:val="24"/>
        </w:rPr>
        <w:t>. It should be noted that Article 170</w:t>
      </w:r>
      <w:r w:rsidR="004263C1" w:rsidRPr="00A75E02">
        <w:rPr>
          <w:rFonts w:ascii="Times New Roman" w:hAnsi="Times New Roman"/>
          <w:sz w:val="24"/>
          <w:szCs w:val="24"/>
          <w:vertAlign w:val="superscript"/>
        </w:rPr>
        <w:t>1</w:t>
      </w:r>
      <w:r w:rsidR="00B86364" w:rsidRPr="00A75E02">
        <w:rPr>
          <w:rFonts w:ascii="Times New Roman" w:hAnsi="Times New Roman"/>
          <w:sz w:val="24"/>
          <w:szCs w:val="24"/>
        </w:rPr>
        <w:t xml:space="preserve"> of the CC</w:t>
      </w:r>
      <w:r w:rsidR="004263C1" w:rsidRPr="00A75E02">
        <w:rPr>
          <w:rFonts w:ascii="Times New Roman" w:hAnsi="Times New Roman"/>
          <w:sz w:val="24"/>
          <w:szCs w:val="24"/>
        </w:rPr>
        <w:t xml:space="preserve"> establishes criminal liability for a person who creates a group of accomplices or an organised group or organisation aiming at discriminating a group of persons on grounds of </w:t>
      </w:r>
      <w:r w:rsidR="00275970" w:rsidRPr="00A75E02">
        <w:rPr>
          <w:rFonts w:ascii="Times New Roman" w:hAnsi="Times New Roman"/>
          <w:sz w:val="24"/>
          <w:szCs w:val="24"/>
        </w:rPr>
        <w:t xml:space="preserve">age, </w:t>
      </w:r>
      <w:r w:rsidR="004263C1" w:rsidRPr="00A75E02">
        <w:rPr>
          <w:rFonts w:ascii="Times New Roman" w:hAnsi="Times New Roman"/>
          <w:sz w:val="24"/>
          <w:szCs w:val="24"/>
        </w:rPr>
        <w:t xml:space="preserve">sex, sexual orientation, </w:t>
      </w:r>
      <w:r w:rsidR="005A5D2B" w:rsidRPr="00A75E02">
        <w:rPr>
          <w:rFonts w:ascii="Times New Roman" w:hAnsi="Times New Roman"/>
          <w:sz w:val="24"/>
          <w:szCs w:val="24"/>
        </w:rPr>
        <w:t xml:space="preserve">disability, </w:t>
      </w:r>
      <w:r w:rsidR="004263C1" w:rsidRPr="00A75E02">
        <w:rPr>
          <w:rFonts w:ascii="Times New Roman" w:hAnsi="Times New Roman"/>
          <w:sz w:val="24"/>
          <w:szCs w:val="24"/>
        </w:rPr>
        <w:t>race, nationality, language, descent, social status, religion, convictions or views or inciting against it or participates in the activities of such a group or organisation or finances or otherwise supports such a group or organisation.</w:t>
      </w:r>
      <w:proofErr w:type="gramEnd"/>
    </w:p>
    <w:p w14:paraId="19E0A265" w14:textId="74A4EBF7" w:rsidR="00195DF7" w:rsidRPr="00A75E02" w:rsidRDefault="00195DF7"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Recalling its general recommendation No. 27 (2000) on discrimination against Roma, the Committee recommends that the State party:</w:t>
      </w:r>
    </w:p>
    <w:p w14:paraId="59C2AB5F" w14:textId="77777777" w:rsidR="00195DF7" w:rsidRPr="00A75E02" w:rsidRDefault="00195DF7"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(a)</w:t>
      </w:r>
      <w:r w:rsidR="001601D9">
        <w:rPr>
          <w:rFonts w:ascii="Times New Roman" w:hAnsi="Times New Roman"/>
          <w:i/>
          <w:sz w:val="24"/>
          <w:szCs w:val="24"/>
        </w:rPr>
        <w:t xml:space="preserve">   </w:t>
      </w:r>
      <w:r w:rsidRPr="00A75E02">
        <w:rPr>
          <w:rFonts w:ascii="Times New Roman" w:hAnsi="Times New Roman"/>
          <w:i/>
          <w:sz w:val="24"/>
          <w:szCs w:val="24"/>
        </w:rPr>
        <w:t>Continue its efforts to firmly combat racial discrimination against Roma and address the challenges that Roma continue to face in the areas of employment, education and housing</w:t>
      </w:r>
      <w:proofErr w:type="gramStart"/>
      <w:r w:rsidRPr="00A75E02">
        <w:rPr>
          <w:rFonts w:ascii="Times New Roman" w:hAnsi="Times New Roman"/>
          <w:i/>
          <w:sz w:val="24"/>
          <w:szCs w:val="24"/>
        </w:rPr>
        <w:t>;</w:t>
      </w:r>
      <w:proofErr w:type="gramEnd"/>
    </w:p>
    <w:p w14:paraId="1C353B93" w14:textId="77777777" w:rsidR="00195DF7" w:rsidRPr="00A75E02" w:rsidRDefault="00195DF7" w:rsidP="00742FA3">
      <w:pPr>
        <w:spacing w:before="100" w:beforeAutospacing="1" w:after="100" w:afterAutospacing="1" w:line="240" w:lineRule="auto"/>
        <w:jc w:val="both"/>
        <w:rPr>
          <w:rFonts w:ascii="Times New Roman" w:hAnsi="Times New Roman" w:cs="Times New Roman"/>
          <w:i/>
          <w:sz w:val="24"/>
          <w:szCs w:val="24"/>
        </w:rPr>
      </w:pPr>
      <w:proofErr w:type="gramStart"/>
      <w:r w:rsidRPr="00A75E02">
        <w:rPr>
          <w:rFonts w:ascii="Times New Roman" w:hAnsi="Times New Roman"/>
          <w:i/>
          <w:sz w:val="24"/>
          <w:szCs w:val="24"/>
        </w:rPr>
        <w:t>(b)</w:t>
      </w:r>
      <w:r w:rsidR="001601D9">
        <w:rPr>
          <w:rFonts w:ascii="Times New Roman" w:hAnsi="Times New Roman"/>
          <w:i/>
          <w:sz w:val="24"/>
          <w:szCs w:val="24"/>
        </w:rPr>
        <w:t xml:space="preserve">   </w:t>
      </w:r>
      <w:r w:rsidRPr="00A75E02">
        <w:rPr>
          <w:rFonts w:ascii="Times New Roman" w:hAnsi="Times New Roman"/>
          <w:i/>
          <w:sz w:val="24"/>
          <w:szCs w:val="24"/>
        </w:rPr>
        <w:t>In particular, bearing in mind the Committee’s general recommendation No. 32 (2009) on the meaning and scope of special measures in the</w:t>
      </w:r>
      <w:r w:rsidR="001601D9">
        <w:rPr>
          <w:rFonts w:ascii="Times New Roman" w:hAnsi="Times New Roman"/>
          <w:i/>
          <w:sz w:val="24"/>
          <w:szCs w:val="24"/>
        </w:rPr>
        <w:t xml:space="preserve"> </w:t>
      </w:r>
      <w:r w:rsidRPr="00A75E02">
        <w:rPr>
          <w:rFonts w:ascii="Times New Roman" w:hAnsi="Times New Roman"/>
          <w:i/>
          <w:sz w:val="24"/>
          <w:szCs w:val="24"/>
        </w:rPr>
        <w:t>International Convention on the Elimination of All Forms of Racial Discrimination and in the context of the new action plan for Roma integration for 2015-2020, reinforce the special measures to reduce the illiteracy rate and the school dropout rate and to improve the attendance and language skills of Roma children;</w:t>
      </w:r>
      <w:proofErr w:type="gramEnd"/>
    </w:p>
    <w:p w14:paraId="413B24A2" w14:textId="77777777" w:rsidR="00195DF7" w:rsidRPr="00A75E02" w:rsidRDefault="00195DF7"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(c)</w:t>
      </w:r>
      <w:r w:rsidR="001601D9">
        <w:rPr>
          <w:rFonts w:ascii="Times New Roman" w:hAnsi="Times New Roman"/>
          <w:i/>
          <w:sz w:val="24"/>
          <w:szCs w:val="24"/>
        </w:rPr>
        <w:t xml:space="preserve">   </w:t>
      </w:r>
      <w:r w:rsidRPr="00A75E02">
        <w:rPr>
          <w:rFonts w:ascii="Times New Roman" w:hAnsi="Times New Roman"/>
          <w:i/>
          <w:sz w:val="24"/>
          <w:szCs w:val="24"/>
        </w:rPr>
        <w:t>Find</w:t>
      </w:r>
      <w:r w:rsidR="001601D9">
        <w:rPr>
          <w:rFonts w:ascii="Times New Roman" w:hAnsi="Times New Roman"/>
          <w:i/>
          <w:sz w:val="24"/>
          <w:szCs w:val="24"/>
        </w:rPr>
        <w:t xml:space="preserve"> </w:t>
      </w:r>
      <w:r w:rsidRPr="00A75E02">
        <w:rPr>
          <w:rFonts w:ascii="Times New Roman" w:hAnsi="Times New Roman"/>
          <w:i/>
          <w:sz w:val="24"/>
          <w:szCs w:val="24"/>
        </w:rPr>
        <w:t>durable</w:t>
      </w:r>
      <w:r w:rsidR="001601D9">
        <w:rPr>
          <w:rFonts w:ascii="Times New Roman" w:hAnsi="Times New Roman"/>
          <w:i/>
          <w:sz w:val="24"/>
          <w:szCs w:val="24"/>
        </w:rPr>
        <w:t xml:space="preserve"> </w:t>
      </w:r>
      <w:r w:rsidRPr="00A75E02">
        <w:rPr>
          <w:rFonts w:ascii="Times New Roman" w:hAnsi="Times New Roman"/>
          <w:i/>
          <w:sz w:val="24"/>
          <w:szCs w:val="24"/>
        </w:rPr>
        <w:t>solutions to</w:t>
      </w:r>
      <w:r w:rsidR="001601D9">
        <w:rPr>
          <w:rFonts w:ascii="Times New Roman" w:hAnsi="Times New Roman"/>
          <w:i/>
          <w:sz w:val="24"/>
          <w:szCs w:val="24"/>
        </w:rPr>
        <w:t xml:space="preserve"> </w:t>
      </w:r>
      <w:r w:rsidRPr="00A75E02">
        <w:rPr>
          <w:rFonts w:ascii="Times New Roman" w:hAnsi="Times New Roman"/>
          <w:i/>
          <w:sz w:val="24"/>
          <w:szCs w:val="24"/>
        </w:rPr>
        <w:t>the</w:t>
      </w:r>
      <w:r w:rsidR="001601D9">
        <w:rPr>
          <w:rFonts w:ascii="Times New Roman" w:hAnsi="Times New Roman"/>
          <w:i/>
          <w:sz w:val="24"/>
          <w:szCs w:val="24"/>
        </w:rPr>
        <w:t xml:space="preserve"> </w:t>
      </w:r>
      <w:r w:rsidRPr="00A75E02">
        <w:rPr>
          <w:rFonts w:ascii="Times New Roman" w:hAnsi="Times New Roman"/>
          <w:i/>
          <w:sz w:val="24"/>
          <w:szCs w:val="24"/>
        </w:rPr>
        <w:t>housing</w:t>
      </w:r>
      <w:r w:rsidR="001601D9">
        <w:rPr>
          <w:rFonts w:ascii="Times New Roman" w:hAnsi="Times New Roman"/>
          <w:i/>
          <w:sz w:val="24"/>
          <w:szCs w:val="24"/>
        </w:rPr>
        <w:t xml:space="preserve"> </w:t>
      </w:r>
      <w:r w:rsidRPr="00A75E02">
        <w:rPr>
          <w:rFonts w:ascii="Times New Roman" w:hAnsi="Times New Roman"/>
          <w:i/>
          <w:sz w:val="24"/>
          <w:szCs w:val="24"/>
        </w:rPr>
        <w:t>issues</w:t>
      </w:r>
      <w:r w:rsidR="001601D9">
        <w:rPr>
          <w:rFonts w:ascii="Times New Roman" w:hAnsi="Times New Roman"/>
          <w:i/>
          <w:sz w:val="24"/>
          <w:szCs w:val="24"/>
        </w:rPr>
        <w:t xml:space="preserve"> </w:t>
      </w:r>
      <w:r w:rsidRPr="00A75E02">
        <w:rPr>
          <w:rFonts w:ascii="Times New Roman" w:hAnsi="Times New Roman"/>
          <w:i/>
          <w:sz w:val="24"/>
          <w:szCs w:val="24"/>
        </w:rPr>
        <w:t>of</w:t>
      </w:r>
      <w:r w:rsidR="001601D9">
        <w:rPr>
          <w:rFonts w:ascii="Times New Roman" w:hAnsi="Times New Roman"/>
          <w:i/>
          <w:sz w:val="24"/>
          <w:szCs w:val="24"/>
        </w:rPr>
        <w:t xml:space="preserve"> </w:t>
      </w:r>
      <w:r w:rsidRPr="00A75E02">
        <w:rPr>
          <w:rFonts w:ascii="Times New Roman" w:hAnsi="Times New Roman"/>
          <w:i/>
          <w:sz w:val="24"/>
          <w:szCs w:val="24"/>
        </w:rPr>
        <w:t>Roma,</w:t>
      </w:r>
      <w:r w:rsidR="001601D9">
        <w:rPr>
          <w:rFonts w:ascii="Times New Roman" w:hAnsi="Times New Roman"/>
          <w:i/>
          <w:sz w:val="24"/>
          <w:szCs w:val="24"/>
        </w:rPr>
        <w:t xml:space="preserve"> </w:t>
      </w:r>
      <w:r w:rsidRPr="00A75E02">
        <w:rPr>
          <w:rFonts w:ascii="Times New Roman" w:hAnsi="Times New Roman"/>
          <w:i/>
          <w:sz w:val="24"/>
          <w:szCs w:val="24"/>
        </w:rPr>
        <w:t xml:space="preserve">including by providing them with social housing in the context of the action plan for greater social inclusion for 2014-2020, and pay particular attention to the housing situation of Roma in the </w:t>
      </w:r>
      <w:proofErr w:type="spellStart"/>
      <w:r w:rsidRPr="00A75E02">
        <w:rPr>
          <w:rFonts w:ascii="Times New Roman" w:hAnsi="Times New Roman"/>
          <w:i/>
          <w:sz w:val="24"/>
          <w:szCs w:val="24"/>
        </w:rPr>
        <w:t>Kirtimai</w:t>
      </w:r>
      <w:proofErr w:type="spellEnd"/>
      <w:r w:rsidRPr="00A75E02">
        <w:rPr>
          <w:rFonts w:ascii="Times New Roman" w:hAnsi="Times New Roman"/>
          <w:i/>
          <w:sz w:val="24"/>
          <w:szCs w:val="24"/>
        </w:rPr>
        <w:t xml:space="preserve"> settlement and provide them with alternative solutions in consultation with Roma communities;</w:t>
      </w:r>
    </w:p>
    <w:p w14:paraId="14F93777" w14:textId="77777777" w:rsidR="00195DF7" w:rsidRPr="00A75E02" w:rsidRDefault="00195DF7"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lastRenderedPageBreak/>
        <w:t>(d)</w:t>
      </w:r>
      <w:r w:rsidR="001601D9">
        <w:rPr>
          <w:rFonts w:ascii="Times New Roman" w:hAnsi="Times New Roman"/>
          <w:i/>
          <w:sz w:val="24"/>
          <w:szCs w:val="24"/>
        </w:rPr>
        <w:t xml:space="preserve">   </w:t>
      </w:r>
      <w:r w:rsidRPr="00A75E02">
        <w:rPr>
          <w:rFonts w:ascii="Times New Roman" w:hAnsi="Times New Roman"/>
          <w:i/>
          <w:sz w:val="24"/>
          <w:szCs w:val="24"/>
        </w:rPr>
        <w:t>Allocate adequate funding for all programmes, strategies and other policies relating to the integration of Roma and for the evaluation of the impact of those measures.</w:t>
      </w:r>
    </w:p>
    <w:p w14:paraId="37D19730" w14:textId="77777777" w:rsidR="00295536" w:rsidRPr="00A75E02" w:rsidRDefault="00013A58" w:rsidP="00295536">
      <w:pPr>
        <w:spacing w:before="100" w:beforeAutospacing="1" w:after="100" w:afterAutospacing="1" w:line="240" w:lineRule="auto"/>
        <w:jc w:val="both"/>
        <w:rPr>
          <w:rFonts w:ascii="Times New Roman" w:hAnsi="Times New Roman" w:cs="Times New Roman"/>
          <w:b/>
          <w:sz w:val="24"/>
          <w:szCs w:val="24"/>
        </w:rPr>
      </w:pPr>
      <w:r w:rsidRPr="00A75E02">
        <w:rPr>
          <w:rFonts w:ascii="Times New Roman" w:hAnsi="Times New Roman"/>
          <w:b/>
          <w:sz w:val="24"/>
          <w:szCs w:val="24"/>
        </w:rPr>
        <w:t xml:space="preserve">I. </w:t>
      </w:r>
      <w:r w:rsidR="00295536" w:rsidRPr="00A75E02">
        <w:rPr>
          <w:rFonts w:ascii="Times New Roman" w:hAnsi="Times New Roman"/>
          <w:b/>
          <w:sz w:val="24"/>
          <w:szCs w:val="24"/>
        </w:rPr>
        <w:t xml:space="preserve">Plans, strategies and surveys </w:t>
      </w:r>
      <w:r w:rsidR="0088456F">
        <w:rPr>
          <w:rFonts w:ascii="Times New Roman" w:hAnsi="Times New Roman"/>
          <w:b/>
          <w:sz w:val="24"/>
          <w:szCs w:val="24"/>
        </w:rPr>
        <w:t>related to the</w:t>
      </w:r>
      <w:r w:rsidR="00295536" w:rsidRPr="00A75E02">
        <w:rPr>
          <w:rFonts w:ascii="Times New Roman" w:hAnsi="Times New Roman"/>
          <w:b/>
          <w:sz w:val="24"/>
          <w:szCs w:val="24"/>
        </w:rPr>
        <w:t xml:space="preserve"> non-discrimination</w:t>
      </w:r>
      <w:r w:rsidR="0088456F" w:rsidRPr="0088456F">
        <w:rPr>
          <w:rFonts w:ascii="Times New Roman" w:hAnsi="Times New Roman"/>
          <w:b/>
          <w:sz w:val="24"/>
          <w:szCs w:val="24"/>
        </w:rPr>
        <w:t xml:space="preserve"> </w:t>
      </w:r>
      <w:r w:rsidR="0088456F">
        <w:rPr>
          <w:rFonts w:ascii="Times New Roman" w:hAnsi="Times New Roman"/>
          <w:b/>
          <w:sz w:val="24"/>
          <w:szCs w:val="24"/>
        </w:rPr>
        <w:t xml:space="preserve">of </w:t>
      </w:r>
      <w:r w:rsidR="0088456F" w:rsidRPr="00A75E02">
        <w:rPr>
          <w:rFonts w:ascii="Times New Roman" w:hAnsi="Times New Roman"/>
          <w:b/>
          <w:sz w:val="24"/>
          <w:szCs w:val="24"/>
        </w:rPr>
        <w:t>Roma</w:t>
      </w:r>
    </w:p>
    <w:p w14:paraId="7EA1E6CC" w14:textId="771CC0E5"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57</w:t>
      </w:r>
      <w:r w:rsidR="004263C1" w:rsidRPr="00A75E02">
        <w:rPr>
          <w:rFonts w:ascii="Times New Roman" w:hAnsi="Times New Roman"/>
          <w:sz w:val="24"/>
          <w:szCs w:val="24"/>
        </w:rPr>
        <w:t xml:space="preserve">. </w:t>
      </w:r>
      <w:r w:rsidR="0088456F">
        <w:rPr>
          <w:rFonts w:ascii="Times New Roman" w:hAnsi="Times New Roman"/>
          <w:sz w:val="24"/>
          <w:szCs w:val="24"/>
        </w:rPr>
        <w:t>During</w:t>
      </w:r>
      <w:r w:rsidR="004263C1" w:rsidRPr="00A75E02">
        <w:rPr>
          <w:rFonts w:ascii="Times New Roman" w:hAnsi="Times New Roman"/>
          <w:sz w:val="24"/>
          <w:szCs w:val="24"/>
        </w:rPr>
        <w:t xml:space="preserve"> the period 2014-2017 Lithuania completed the implementation of the Action plan for Roma integration into the Lithuanian society for 2012-2014 and started the implementation of measures under the Action plan for Roma integration into the Lithuanian society for 2015-2020</w:t>
      </w:r>
      <w:r w:rsidR="00534CBA">
        <w:rPr>
          <w:rFonts w:ascii="Times New Roman" w:hAnsi="Times New Roman"/>
          <w:sz w:val="24"/>
          <w:szCs w:val="24"/>
        </w:rPr>
        <w:t xml:space="preserve"> period</w:t>
      </w:r>
      <w:r w:rsidR="004263C1" w:rsidRPr="00A75E02">
        <w:rPr>
          <w:rFonts w:ascii="Times New Roman" w:hAnsi="Times New Roman"/>
          <w:sz w:val="24"/>
          <w:szCs w:val="24"/>
        </w:rPr>
        <w:t xml:space="preserve"> and the Programme for the Integration of </w:t>
      </w:r>
      <w:r w:rsidR="0088456F">
        <w:rPr>
          <w:rFonts w:ascii="Times New Roman" w:hAnsi="Times New Roman"/>
          <w:sz w:val="24"/>
          <w:szCs w:val="24"/>
        </w:rPr>
        <w:t xml:space="preserve">the </w:t>
      </w:r>
      <w:r w:rsidR="004263C1" w:rsidRPr="00A75E02">
        <w:rPr>
          <w:rFonts w:ascii="Times New Roman" w:hAnsi="Times New Roman"/>
          <w:sz w:val="24"/>
          <w:szCs w:val="24"/>
        </w:rPr>
        <w:t xml:space="preserve">Roma Community living in Vilnius </w:t>
      </w:r>
      <w:r w:rsidR="00534CBA">
        <w:rPr>
          <w:rFonts w:ascii="Times New Roman" w:hAnsi="Times New Roman"/>
          <w:sz w:val="24"/>
          <w:szCs w:val="24"/>
        </w:rPr>
        <w:t>city municipality</w:t>
      </w:r>
      <w:r w:rsidR="004263C1" w:rsidRPr="00A75E02">
        <w:rPr>
          <w:rFonts w:ascii="Times New Roman" w:hAnsi="Times New Roman"/>
          <w:sz w:val="24"/>
          <w:szCs w:val="24"/>
        </w:rPr>
        <w:t xml:space="preserve"> into the Society for 2016-2019.</w:t>
      </w:r>
      <w:proofErr w:type="gramEnd"/>
    </w:p>
    <w:p w14:paraId="24202290" w14:textId="4E864F2C"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58</w:t>
      </w:r>
      <w:r w:rsidR="001473F3" w:rsidRPr="00A75E02">
        <w:rPr>
          <w:rFonts w:ascii="Times New Roman" w:hAnsi="Times New Roman"/>
          <w:sz w:val="24"/>
          <w:szCs w:val="24"/>
        </w:rPr>
        <w:t xml:space="preserve">. The results of the Action plan for Roma integration for 2012-2014 and previously implemented programmes (Programme for Roma integration for 2000-2004 and Programme for Roma integration into the Lithuanian society for 2008-2010) were </w:t>
      </w:r>
      <w:r w:rsidR="00534CBA">
        <w:rPr>
          <w:rFonts w:ascii="Times New Roman" w:hAnsi="Times New Roman"/>
          <w:sz w:val="24"/>
          <w:szCs w:val="24"/>
        </w:rPr>
        <w:t>evaluated</w:t>
      </w:r>
      <w:r w:rsidR="001473F3" w:rsidRPr="00A75E02">
        <w:rPr>
          <w:rFonts w:ascii="Times New Roman" w:hAnsi="Times New Roman"/>
          <w:sz w:val="24"/>
          <w:szCs w:val="24"/>
        </w:rPr>
        <w:t xml:space="preserve"> in 2014 by </w:t>
      </w:r>
      <w:r w:rsidR="00534CBA">
        <w:rPr>
          <w:rFonts w:ascii="Times New Roman" w:hAnsi="Times New Roman"/>
          <w:sz w:val="24"/>
          <w:szCs w:val="24"/>
        </w:rPr>
        <w:t>conducting</w:t>
      </w:r>
      <w:r w:rsidR="001473F3" w:rsidRPr="00A75E02">
        <w:rPr>
          <w:rFonts w:ascii="Times New Roman" w:hAnsi="Times New Roman"/>
          <w:sz w:val="24"/>
          <w:szCs w:val="24"/>
        </w:rPr>
        <w:t xml:space="preserve"> a sociological study ‘Situation of the Roma national minority and evaluation of its integration’ (hereinafter referred to as the 2014 study). The 2014 study took into consideration the findings of the 2001 </w:t>
      </w:r>
      <w:r w:rsidR="009F754C" w:rsidRPr="00A75E02">
        <w:rPr>
          <w:rFonts w:ascii="Times New Roman" w:hAnsi="Times New Roman"/>
          <w:sz w:val="24"/>
          <w:szCs w:val="24"/>
        </w:rPr>
        <w:t>G</w:t>
      </w:r>
      <w:r w:rsidR="001473F3" w:rsidRPr="00A75E02">
        <w:rPr>
          <w:rFonts w:ascii="Times New Roman" w:hAnsi="Times New Roman"/>
          <w:sz w:val="24"/>
          <w:szCs w:val="24"/>
        </w:rPr>
        <w:t xml:space="preserve">eneral </w:t>
      </w:r>
      <w:r w:rsidR="009F754C" w:rsidRPr="00A75E02">
        <w:rPr>
          <w:rFonts w:ascii="Times New Roman" w:hAnsi="Times New Roman"/>
          <w:sz w:val="24"/>
          <w:szCs w:val="24"/>
        </w:rPr>
        <w:t>P</w:t>
      </w:r>
      <w:r w:rsidR="001473F3" w:rsidRPr="00A75E02">
        <w:rPr>
          <w:rFonts w:ascii="Times New Roman" w:hAnsi="Times New Roman"/>
          <w:sz w:val="24"/>
          <w:szCs w:val="24"/>
        </w:rPr>
        <w:t xml:space="preserve">opulation and </w:t>
      </w:r>
      <w:r w:rsidR="009F754C" w:rsidRPr="00A75E02">
        <w:rPr>
          <w:rFonts w:ascii="Times New Roman" w:hAnsi="Times New Roman"/>
          <w:sz w:val="24"/>
          <w:szCs w:val="24"/>
        </w:rPr>
        <w:t>H</w:t>
      </w:r>
      <w:r w:rsidR="001473F3" w:rsidRPr="00A75E02">
        <w:rPr>
          <w:rFonts w:ascii="Times New Roman" w:hAnsi="Times New Roman"/>
          <w:sz w:val="24"/>
          <w:szCs w:val="24"/>
        </w:rPr>
        <w:t xml:space="preserve">ousing </w:t>
      </w:r>
      <w:r w:rsidR="009F754C" w:rsidRPr="00A75E02">
        <w:rPr>
          <w:rFonts w:ascii="Times New Roman" w:hAnsi="Times New Roman"/>
          <w:sz w:val="24"/>
          <w:szCs w:val="24"/>
        </w:rPr>
        <w:t>C</w:t>
      </w:r>
      <w:r w:rsidR="001473F3" w:rsidRPr="00A75E02">
        <w:rPr>
          <w:rFonts w:ascii="Times New Roman" w:hAnsi="Times New Roman"/>
          <w:sz w:val="24"/>
          <w:szCs w:val="24"/>
        </w:rPr>
        <w:t xml:space="preserve">ensus and the 2011 </w:t>
      </w:r>
      <w:r w:rsidR="00225162" w:rsidRPr="00A75E02">
        <w:rPr>
          <w:rFonts w:ascii="Times New Roman" w:hAnsi="Times New Roman"/>
          <w:sz w:val="24"/>
          <w:szCs w:val="24"/>
        </w:rPr>
        <w:t>G</w:t>
      </w:r>
      <w:r w:rsidR="001473F3" w:rsidRPr="00A75E02">
        <w:rPr>
          <w:rFonts w:ascii="Times New Roman" w:hAnsi="Times New Roman"/>
          <w:sz w:val="24"/>
          <w:szCs w:val="24"/>
        </w:rPr>
        <w:t xml:space="preserve">eneral </w:t>
      </w:r>
      <w:r w:rsidR="00225162" w:rsidRPr="00A75E02">
        <w:rPr>
          <w:rFonts w:ascii="Times New Roman" w:hAnsi="Times New Roman"/>
          <w:sz w:val="24"/>
          <w:szCs w:val="24"/>
        </w:rPr>
        <w:t>P</w:t>
      </w:r>
      <w:r w:rsidR="001473F3" w:rsidRPr="00A75E02">
        <w:rPr>
          <w:rFonts w:ascii="Times New Roman" w:hAnsi="Times New Roman"/>
          <w:sz w:val="24"/>
          <w:szCs w:val="24"/>
        </w:rPr>
        <w:t xml:space="preserve">opulation </w:t>
      </w:r>
      <w:r w:rsidR="00225162" w:rsidRPr="00A75E02">
        <w:rPr>
          <w:rFonts w:ascii="Times New Roman" w:hAnsi="Times New Roman"/>
          <w:sz w:val="24"/>
          <w:szCs w:val="24"/>
        </w:rPr>
        <w:t>C</w:t>
      </w:r>
      <w:r w:rsidR="001473F3" w:rsidRPr="00A75E02">
        <w:rPr>
          <w:rFonts w:ascii="Times New Roman" w:hAnsi="Times New Roman"/>
          <w:sz w:val="24"/>
          <w:szCs w:val="24"/>
        </w:rPr>
        <w:t>ensus published in 2013-2014.</w:t>
      </w:r>
    </w:p>
    <w:p w14:paraId="7FDAAAED" w14:textId="67BADD83" w:rsidR="00295536" w:rsidRPr="00A75E02" w:rsidRDefault="00295536" w:rsidP="00295536">
      <w:pPr>
        <w:spacing w:before="100" w:beforeAutospacing="1" w:after="100" w:afterAutospacing="1" w:line="240" w:lineRule="auto"/>
        <w:jc w:val="both"/>
        <w:rPr>
          <w:rFonts w:ascii="Times New Roman" w:hAnsi="Times New Roman" w:cs="Times New Roman"/>
          <w:b/>
          <w:sz w:val="24"/>
          <w:szCs w:val="24"/>
        </w:rPr>
      </w:pPr>
      <w:proofErr w:type="gramStart"/>
      <w:r w:rsidRPr="00A75E02">
        <w:rPr>
          <w:rFonts w:ascii="Times New Roman" w:hAnsi="Times New Roman"/>
          <w:b/>
          <w:sz w:val="24"/>
          <w:szCs w:val="24"/>
        </w:rPr>
        <w:t>I.</w:t>
      </w:r>
      <w:r w:rsidR="00013A58" w:rsidRPr="00A75E02">
        <w:rPr>
          <w:rFonts w:ascii="Times New Roman" w:hAnsi="Times New Roman"/>
          <w:b/>
          <w:sz w:val="24"/>
          <w:szCs w:val="24"/>
        </w:rPr>
        <w:t>(</w:t>
      </w:r>
      <w:proofErr w:type="gramEnd"/>
      <w:r w:rsidR="00013A58" w:rsidRPr="00A75E02">
        <w:rPr>
          <w:rFonts w:ascii="Times New Roman" w:hAnsi="Times New Roman"/>
          <w:b/>
          <w:sz w:val="24"/>
          <w:szCs w:val="24"/>
        </w:rPr>
        <w:t>a)</w:t>
      </w:r>
      <w:r w:rsidRPr="00A75E02">
        <w:rPr>
          <w:rFonts w:ascii="Times New Roman" w:hAnsi="Times New Roman"/>
          <w:b/>
          <w:sz w:val="24"/>
          <w:szCs w:val="24"/>
        </w:rPr>
        <w:t xml:space="preserve"> The findings of the 2014 study on th</w:t>
      </w:r>
      <w:r w:rsidR="008B7EBB">
        <w:rPr>
          <w:rFonts w:ascii="Times New Roman" w:hAnsi="Times New Roman"/>
          <w:b/>
          <w:sz w:val="24"/>
          <w:szCs w:val="24"/>
        </w:rPr>
        <w:t>e situation of the Roma</w:t>
      </w:r>
      <w:r w:rsidRPr="00A75E02">
        <w:rPr>
          <w:rFonts w:ascii="Times New Roman" w:hAnsi="Times New Roman"/>
          <w:b/>
          <w:sz w:val="24"/>
          <w:szCs w:val="24"/>
        </w:rPr>
        <w:t xml:space="preserve"> minority</w:t>
      </w:r>
    </w:p>
    <w:p w14:paraId="02DC4448" w14:textId="1B68B1DD"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59</w:t>
      </w:r>
      <w:r w:rsidR="001473F3" w:rsidRPr="00A75E02">
        <w:rPr>
          <w:rFonts w:ascii="Times New Roman" w:hAnsi="Times New Roman"/>
          <w:sz w:val="24"/>
          <w:szCs w:val="24"/>
        </w:rPr>
        <w:t xml:space="preserve">. According to the findings of the </w:t>
      </w:r>
      <w:r w:rsidR="00DB2707" w:rsidRPr="00A75E02">
        <w:rPr>
          <w:rFonts w:ascii="Times New Roman" w:hAnsi="Times New Roman"/>
          <w:sz w:val="24"/>
          <w:szCs w:val="24"/>
        </w:rPr>
        <w:t>P</w:t>
      </w:r>
      <w:r w:rsidR="001473F3" w:rsidRPr="00A75E02">
        <w:rPr>
          <w:rFonts w:ascii="Times New Roman" w:hAnsi="Times New Roman"/>
          <w:sz w:val="24"/>
          <w:szCs w:val="24"/>
        </w:rPr>
        <w:t xml:space="preserve">opulation and </w:t>
      </w:r>
      <w:r w:rsidR="00DB2707" w:rsidRPr="00A75E02">
        <w:rPr>
          <w:rFonts w:ascii="Times New Roman" w:hAnsi="Times New Roman"/>
          <w:sz w:val="24"/>
          <w:szCs w:val="24"/>
        </w:rPr>
        <w:t>H</w:t>
      </w:r>
      <w:r w:rsidR="001473F3" w:rsidRPr="00A75E02">
        <w:rPr>
          <w:rFonts w:ascii="Times New Roman" w:hAnsi="Times New Roman"/>
          <w:sz w:val="24"/>
          <w:szCs w:val="24"/>
        </w:rPr>
        <w:t xml:space="preserve">ousing </w:t>
      </w:r>
      <w:r w:rsidR="00DB2707" w:rsidRPr="00A75E02">
        <w:rPr>
          <w:rFonts w:ascii="Times New Roman" w:hAnsi="Times New Roman"/>
          <w:sz w:val="24"/>
          <w:szCs w:val="24"/>
        </w:rPr>
        <w:t>C</w:t>
      </w:r>
      <w:r w:rsidR="001473F3" w:rsidRPr="00A75E02">
        <w:rPr>
          <w:rFonts w:ascii="Times New Roman" w:hAnsi="Times New Roman"/>
          <w:sz w:val="24"/>
          <w:szCs w:val="24"/>
        </w:rPr>
        <w:t>ensus conducted in 2011, there were 2</w:t>
      </w:r>
      <w:r w:rsidR="003C0D86" w:rsidRPr="00A75E02">
        <w:rPr>
          <w:rFonts w:ascii="Times New Roman" w:hAnsi="Times New Roman"/>
          <w:sz w:val="24"/>
          <w:szCs w:val="24"/>
        </w:rPr>
        <w:t> </w:t>
      </w:r>
      <w:r w:rsidR="001473F3" w:rsidRPr="00A75E02">
        <w:rPr>
          <w:rFonts w:ascii="Times New Roman" w:hAnsi="Times New Roman"/>
          <w:sz w:val="24"/>
          <w:szCs w:val="24"/>
        </w:rPr>
        <w:t xml:space="preserve">115 Roma living in the country. </w:t>
      </w:r>
      <w:proofErr w:type="gramStart"/>
      <w:r w:rsidR="001473F3" w:rsidRPr="00A75E02">
        <w:rPr>
          <w:rFonts w:ascii="Times New Roman" w:hAnsi="Times New Roman"/>
          <w:sz w:val="24"/>
          <w:szCs w:val="24"/>
        </w:rPr>
        <w:t>81%</w:t>
      </w:r>
      <w:proofErr w:type="gramEnd"/>
      <w:r w:rsidR="001473F3" w:rsidRPr="00A75E02">
        <w:rPr>
          <w:rFonts w:ascii="Times New Roman" w:hAnsi="Times New Roman"/>
          <w:sz w:val="24"/>
          <w:szCs w:val="24"/>
        </w:rPr>
        <w:t xml:space="preserve"> of Roma resided in ur</w:t>
      </w:r>
      <w:r w:rsidR="00013A58" w:rsidRPr="00A75E02">
        <w:rPr>
          <w:rFonts w:ascii="Times New Roman" w:hAnsi="Times New Roman"/>
          <w:sz w:val="24"/>
          <w:szCs w:val="24"/>
        </w:rPr>
        <w:t xml:space="preserve">ban areas, whereas 19% of Roma </w:t>
      </w:r>
      <w:r w:rsidR="001473F3" w:rsidRPr="00A75E02">
        <w:rPr>
          <w:rFonts w:ascii="Times New Roman" w:hAnsi="Times New Roman"/>
          <w:sz w:val="24"/>
          <w:szCs w:val="24"/>
        </w:rPr>
        <w:t xml:space="preserve">lived in rural areas. The majority of Roma lived in the counties of Vilnius (38% / 814 persons), Kaunas (23% / 482 persons), </w:t>
      </w:r>
      <w:proofErr w:type="spellStart"/>
      <w:r w:rsidR="001473F3" w:rsidRPr="00A75E02">
        <w:rPr>
          <w:rFonts w:ascii="Times New Roman" w:hAnsi="Times New Roman"/>
          <w:sz w:val="24"/>
          <w:szCs w:val="24"/>
        </w:rPr>
        <w:t>Šiauliai</w:t>
      </w:r>
      <w:proofErr w:type="spellEnd"/>
      <w:r w:rsidR="001473F3" w:rsidRPr="00A75E02">
        <w:rPr>
          <w:rFonts w:ascii="Times New Roman" w:hAnsi="Times New Roman"/>
          <w:sz w:val="24"/>
          <w:szCs w:val="24"/>
        </w:rPr>
        <w:t xml:space="preserve"> (11% / 224 persons), </w:t>
      </w:r>
      <w:proofErr w:type="spellStart"/>
      <w:r w:rsidR="001473F3" w:rsidRPr="00A75E02">
        <w:rPr>
          <w:rFonts w:ascii="Times New Roman" w:hAnsi="Times New Roman"/>
          <w:sz w:val="24"/>
          <w:szCs w:val="24"/>
        </w:rPr>
        <w:t>Marijampolė</w:t>
      </w:r>
      <w:proofErr w:type="spellEnd"/>
      <w:r w:rsidR="001473F3" w:rsidRPr="00A75E02">
        <w:rPr>
          <w:rFonts w:ascii="Times New Roman" w:hAnsi="Times New Roman"/>
          <w:sz w:val="24"/>
          <w:szCs w:val="24"/>
        </w:rPr>
        <w:t xml:space="preserve"> (10% / 214 persons) and </w:t>
      </w:r>
      <w:proofErr w:type="spellStart"/>
      <w:r w:rsidR="001473F3" w:rsidRPr="00A75E02">
        <w:rPr>
          <w:rFonts w:ascii="Times New Roman" w:hAnsi="Times New Roman"/>
          <w:sz w:val="24"/>
          <w:szCs w:val="24"/>
        </w:rPr>
        <w:t>Pane</w:t>
      </w:r>
      <w:r w:rsidR="00013A58" w:rsidRPr="00A75E02">
        <w:rPr>
          <w:rFonts w:ascii="Times New Roman" w:hAnsi="Times New Roman"/>
          <w:sz w:val="24"/>
          <w:szCs w:val="24"/>
        </w:rPr>
        <w:t>vėžys</w:t>
      </w:r>
      <w:proofErr w:type="spellEnd"/>
      <w:r w:rsidR="00013A58" w:rsidRPr="00A75E02">
        <w:rPr>
          <w:rFonts w:ascii="Times New Roman" w:hAnsi="Times New Roman"/>
          <w:sz w:val="24"/>
          <w:szCs w:val="24"/>
        </w:rPr>
        <w:t xml:space="preserve"> (7% / 145 persons). </w:t>
      </w:r>
      <w:r w:rsidR="001473F3" w:rsidRPr="00A75E02">
        <w:rPr>
          <w:rFonts w:ascii="Times New Roman" w:hAnsi="Times New Roman"/>
          <w:sz w:val="24"/>
          <w:szCs w:val="24"/>
        </w:rPr>
        <w:t>1</w:t>
      </w:r>
      <w:r w:rsidR="00013A58" w:rsidRPr="00A75E02">
        <w:rPr>
          <w:rFonts w:ascii="Times New Roman" w:hAnsi="Times New Roman"/>
          <w:sz w:val="24"/>
          <w:szCs w:val="24"/>
        </w:rPr>
        <w:t> </w:t>
      </w:r>
      <w:r w:rsidR="001473F3" w:rsidRPr="00A75E02">
        <w:rPr>
          <w:rFonts w:ascii="Times New Roman" w:hAnsi="Times New Roman"/>
          <w:sz w:val="24"/>
          <w:szCs w:val="24"/>
        </w:rPr>
        <w:t>973 of Roma (i.e. 93</w:t>
      </w:r>
      <w:proofErr w:type="gramStart"/>
      <w:r w:rsidR="001473F3" w:rsidRPr="00A75E02">
        <w:rPr>
          <w:rFonts w:ascii="Times New Roman" w:hAnsi="Times New Roman"/>
          <w:sz w:val="24"/>
          <w:szCs w:val="24"/>
        </w:rPr>
        <w:t>,3</w:t>
      </w:r>
      <w:proofErr w:type="gramEnd"/>
      <w:r w:rsidR="001473F3" w:rsidRPr="00A75E02">
        <w:rPr>
          <w:rFonts w:ascii="Times New Roman" w:hAnsi="Times New Roman"/>
          <w:sz w:val="24"/>
          <w:szCs w:val="24"/>
        </w:rPr>
        <w:t>%) held the nationality of the Republic of Lithuania.</w:t>
      </w:r>
      <w:r w:rsidR="001601D9">
        <w:rPr>
          <w:rFonts w:ascii="Times New Roman" w:hAnsi="Times New Roman"/>
          <w:sz w:val="24"/>
          <w:szCs w:val="24"/>
        </w:rPr>
        <w:t xml:space="preserve"> </w:t>
      </w:r>
      <w:r w:rsidR="001473F3" w:rsidRPr="00A75E02">
        <w:rPr>
          <w:rFonts w:ascii="Times New Roman" w:hAnsi="Times New Roman"/>
          <w:sz w:val="24"/>
          <w:szCs w:val="24"/>
        </w:rPr>
        <w:t>Others held the nationality of the following states: 49 persons (2.3%) held the nationality of Russia</w:t>
      </w:r>
      <w:r w:rsidR="008B7EBB">
        <w:rPr>
          <w:rFonts w:ascii="Times New Roman" w:hAnsi="Times New Roman"/>
          <w:sz w:val="24"/>
          <w:szCs w:val="24"/>
        </w:rPr>
        <w:t>n Federation</w:t>
      </w:r>
      <w:r w:rsidR="001473F3" w:rsidRPr="00A75E02">
        <w:rPr>
          <w:rFonts w:ascii="Times New Roman" w:hAnsi="Times New Roman"/>
          <w:sz w:val="24"/>
          <w:szCs w:val="24"/>
        </w:rPr>
        <w:t>, several persons held the nationality of Belar</w:t>
      </w:r>
      <w:r w:rsidR="00013A58" w:rsidRPr="00A75E02">
        <w:rPr>
          <w:rFonts w:ascii="Times New Roman" w:hAnsi="Times New Roman"/>
          <w:sz w:val="24"/>
          <w:szCs w:val="24"/>
        </w:rPr>
        <w:t>us, Poland, Latvia and Moldova.</w:t>
      </w:r>
      <w:r w:rsidR="001473F3" w:rsidRPr="00A75E02">
        <w:rPr>
          <w:rFonts w:ascii="Times New Roman" w:hAnsi="Times New Roman"/>
          <w:sz w:val="24"/>
          <w:szCs w:val="24"/>
        </w:rPr>
        <w:t xml:space="preserve"> 19 persons indicated that they hold a double nationality, 55 persons indicated that they hold no nationality.</w:t>
      </w:r>
    </w:p>
    <w:p w14:paraId="57342D23" w14:textId="3A4DE5E0"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60</w:t>
      </w:r>
      <w:r w:rsidR="001473F3" w:rsidRPr="00A75E02">
        <w:rPr>
          <w:rFonts w:ascii="Times New Roman" w:hAnsi="Times New Roman"/>
          <w:sz w:val="24"/>
          <w:szCs w:val="24"/>
        </w:rPr>
        <w:t>. The 2014 study revealed signifi</w:t>
      </w:r>
      <w:r w:rsidR="00013A58" w:rsidRPr="00A75E02">
        <w:rPr>
          <w:rFonts w:ascii="Times New Roman" w:hAnsi="Times New Roman"/>
          <w:sz w:val="24"/>
          <w:szCs w:val="24"/>
        </w:rPr>
        <w:t>cant changes in Roma education:</w:t>
      </w:r>
      <w:r w:rsidR="001473F3" w:rsidRPr="00A75E02">
        <w:rPr>
          <w:rFonts w:ascii="Times New Roman" w:hAnsi="Times New Roman"/>
          <w:sz w:val="24"/>
          <w:szCs w:val="24"/>
        </w:rPr>
        <w:t xml:space="preserve"> the education of Roma has significantly improved. The reduction of illiteracy rates indicates a positive change – the number of illiterate persons and persons who failed to attain primary education in the Roma </w:t>
      </w:r>
      <w:r w:rsidR="008B7EBB">
        <w:rPr>
          <w:rFonts w:ascii="Times New Roman" w:hAnsi="Times New Roman"/>
          <w:sz w:val="24"/>
          <w:szCs w:val="24"/>
        </w:rPr>
        <w:t>community</w:t>
      </w:r>
      <w:r w:rsidR="001473F3" w:rsidRPr="00A75E02">
        <w:rPr>
          <w:rFonts w:ascii="Times New Roman" w:hAnsi="Times New Roman"/>
          <w:sz w:val="24"/>
          <w:szCs w:val="24"/>
        </w:rPr>
        <w:t xml:space="preserve"> decreased several times (from 26% to 10%) in 2011, whereas the percentage of persons who attained primary education increased (from 31% to 42%). The number of persons who attained basic education grew as well (from 15% to 29%). However, negative trends </w:t>
      </w:r>
      <w:proofErr w:type="gramStart"/>
      <w:r w:rsidR="001473F3" w:rsidRPr="00A75E02">
        <w:rPr>
          <w:rFonts w:ascii="Times New Roman" w:hAnsi="Times New Roman"/>
          <w:sz w:val="24"/>
          <w:szCs w:val="24"/>
        </w:rPr>
        <w:t>can be observed</w:t>
      </w:r>
      <w:proofErr w:type="gramEnd"/>
      <w:r w:rsidR="001473F3" w:rsidRPr="00A75E02">
        <w:rPr>
          <w:rFonts w:ascii="Times New Roman" w:hAnsi="Times New Roman"/>
          <w:sz w:val="24"/>
          <w:szCs w:val="24"/>
        </w:rPr>
        <w:t xml:space="preserve"> as well. To compare with the findings of 2001, the percentage of persons who attained secondary and higher education in the Roma </w:t>
      </w:r>
      <w:r w:rsidR="008B7EBB">
        <w:rPr>
          <w:rFonts w:ascii="Times New Roman" w:hAnsi="Times New Roman"/>
          <w:sz w:val="24"/>
          <w:szCs w:val="24"/>
        </w:rPr>
        <w:t>community</w:t>
      </w:r>
      <w:r w:rsidR="001473F3" w:rsidRPr="00A75E02">
        <w:rPr>
          <w:rFonts w:ascii="Times New Roman" w:hAnsi="Times New Roman"/>
          <w:sz w:val="24"/>
          <w:szCs w:val="24"/>
        </w:rPr>
        <w:t xml:space="preserve"> decreased from 28% to 20% in 2011.</w:t>
      </w:r>
    </w:p>
    <w:p w14:paraId="07B46D4A" w14:textId="4161437C"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61</w:t>
      </w:r>
      <w:r w:rsidR="001473F3" w:rsidRPr="00A75E02">
        <w:rPr>
          <w:rFonts w:ascii="Times New Roman" w:hAnsi="Times New Roman"/>
          <w:sz w:val="24"/>
          <w:szCs w:val="24"/>
        </w:rPr>
        <w:t xml:space="preserve">. The educational </w:t>
      </w:r>
      <w:r w:rsidR="008B7EBB">
        <w:rPr>
          <w:rFonts w:ascii="Times New Roman" w:hAnsi="Times New Roman"/>
          <w:sz w:val="24"/>
          <w:szCs w:val="24"/>
        </w:rPr>
        <w:t>level</w:t>
      </w:r>
      <w:r w:rsidR="001473F3" w:rsidRPr="00A75E02">
        <w:rPr>
          <w:rFonts w:ascii="Times New Roman" w:hAnsi="Times New Roman"/>
          <w:sz w:val="24"/>
          <w:szCs w:val="24"/>
        </w:rPr>
        <w:t xml:space="preserve"> amon</w:t>
      </w:r>
      <w:r w:rsidR="00880612">
        <w:rPr>
          <w:rFonts w:ascii="Times New Roman" w:hAnsi="Times New Roman"/>
          <w:sz w:val="24"/>
          <w:szCs w:val="24"/>
        </w:rPr>
        <w:t>g Roma children underwent</w:t>
      </w:r>
      <w:r w:rsidR="008B7EBB">
        <w:rPr>
          <w:rFonts w:ascii="Times New Roman" w:hAnsi="Times New Roman"/>
          <w:sz w:val="24"/>
          <w:szCs w:val="24"/>
        </w:rPr>
        <w:t xml:space="preserve"> positive changes</w:t>
      </w:r>
      <w:r w:rsidR="001473F3" w:rsidRPr="00A75E02">
        <w:rPr>
          <w:rFonts w:ascii="Times New Roman" w:hAnsi="Times New Roman"/>
          <w:sz w:val="24"/>
          <w:szCs w:val="24"/>
        </w:rPr>
        <w:t xml:space="preserve"> between 2001 and 2011. The compa</w:t>
      </w:r>
      <w:r w:rsidR="006422A3" w:rsidRPr="00A75E02">
        <w:rPr>
          <w:rFonts w:ascii="Times New Roman" w:hAnsi="Times New Roman"/>
          <w:sz w:val="24"/>
          <w:szCs w:val="24"/>
        </w:rPr>
        <w:t xml:space="preserve">rison of data </w:t>
      </w:r>
      <w:r w:rsidR="001473F3" w:rsidRPr="00A75E02">
        <w:rPr>
          <w:rFonts w:ascii="Times New Roman" w:hAnsi="Times New Roman"/>
          <w:sz w:val="24"/>
          <w:szCs w:val="24"/>
        </w:rPr>
        <w:t xml:space="preserve">indicates that the level of illiteracy and incomplete primary education </w:t>
      </w:r>
      <w:proofErr w:type="gramStart"/>
      <w:r w:rsidR="001473F3" w:rsidRPr="00A75E02">
        <w:rPr>
          <w:rFonts w:ascii="Times New Roman" w:hAnsi="Times New Roman"/>
          <w:sz w:val="24"/>
          <w:szCs w:val="24"/>
        </w:rPr>
        <w:t>was reduced</w:t>
      </w:r>
      <w:proofErr w:type="gramEnd"/>
      <w:r w:rsidR="001473F3" w:rsidRPr="00A75E02">
        <w:rPr>
          <w:rFonts w:ascii="Times New Roman" w:hAnsi="Times New Roman"/>
          <w:sz w:val="24"/>
          <w:szCs w:val="24"/>
        </w:rPr>
        <w:t xml:space="preserve"> by 36% (47% in 2001 and 11% in 2011) and the number of persons who </w:t>
      </w:r>
      <w:r w:rsidR="008B7EBB">
        <w:rPr>
          <w:rFonts w:ascii="Times New Roman" w:hAnsi="Times New Roman"/>
          <w:sz w:val="24"/>
          <w:szCs w:val="24"/>
        </w:rPr>
        <w:t>acquired</w:t>
      </w:r>
      <w:r w:rsidR="001473F3" w:rsidRPr="00A75E02">
        <w:rPr>
          <w:rFonts w:ascii="Times New Roman" w:hAnsi="Times New Roman"/>
          <w:sz w:val="24"/>
          <w:szCs w:val="24"/>
        </w:rPr>
        <w:t xml:space="preserve"> basic education increased (7% and 26% respectively).</w:t>
      </w:r>
      <w:r w:rsidR="001601D9">
        <w:rPr>
          <w:rFonts w:ascii="Times New Roman" w:hAnsi="Times New Roman"/>
          <w:sz w:val="24"/>
          <w:szCs w:val="24"/>
        </w:rPr>
        <w:t xml:space="preserve"> </w:t>
      </w:r>
      <w:r w:rsidR="001473F3" w:rsidRPr="00A75E02">
        <w:rPr>
          <w:rFonts w:ascii="Times New Roman" w:hAnsi="Times New Roman"/>
          <w:sz w:val="24"/>
          <w:szCs w:val="24"/>
        </w:rPr>
        <w:t>In 2011, the difference between the</w:t>
      </w:r>
      <w:r w:rsidR="008B7EBB">
        <w:rPr>
          <w:rFonts w:ascii="Times New Roman" w:hAnsi="Times New Roman"/>
          <w:sz w:val="24"/>
          <w:szCs w:val="24"/>
        </w:rPr>
        <w:t xml:space="preserve"> acquired education level</w:t>
      </w:r>
      <w:r w:rsidR="001473F3" w:rsidRPr="00A75E02">
        <w:rPr>
          <w:rFonts w:ascii="Times New Roman" w:hAnsi="Times New Roman"/>
          <w:sz w:val="24"/>
          <w:szCs w:val="24"/>
        </w:rPr>
        <w:t xml:space="preserve"> of Roma children (</w:t>
      </w:r>
      <w:r w:rsidR="008B7EBB">
        <w:rPr>
          <w:rFonts w:ascii="Times New Roman" w:hAnsi="Times New Roman"/>
          <w:sz w:val="24"/>
          <w:szCs w:val="24"/>
        </w:rPr>
        <w:t>at age of 10 - 19 years</w:t>
      </w:r>
      <w:r w:rsidR="001473F3" w:rsidRPr="00A75E02">
        <w:rPr>
          <w:rFonts w:ascii="Times New Roman" w:hAnsi="Times New Roman"/>
          <w:sz w:val="24"/>
          <w:szCs w:val="24"/>
        </w:rPr>
        <w:t>) and that of their peers in Lithuania was more visible only at the level of secondary educat</w:t>
      </w:r>
      <w:r w:rsidR="006422A3" w:rsidRPr="00A75E02">
        <w:rPr>
          <w:rFonts w:ascii="Times New Roman" w:hAnsi="Times New Roman"/>
          <w:sz w:val="24"/>
          <w:szCs w:val="24"/>
        </w:rPr>
        <w:t xml:space="preserve">ion, whereas the indicators of </w:t>
      </w:r>
      <w:r w:rsidR="00FC7CC0" w:rsidRPr="00A75E02">
        <w:rPr>
          <w:rFonts w:ascii="Times New Roman" w:hAnsi="Times New Roman"/>
          <w:sz w:val="24"/>
          <w:szCs w:val="24"/>
        </w:rPr>
        <w:t xml:space="preserve">illiteracy, </w:t>
      </w:r>
      <w:r w:rsidR="001473F3" w:rsidRPr="00A75E02">
        <w:rPr>
          <w:rFonts w:ascii="Times New Roman" w:hAnsi="Times New Roman"/>
          <w:sz w:val="24"/>
          <w:szCs w:val="24"/>
        </w:rPr>
        <w:t>primary and basic education differed by a mere 1%-5% (in 2001, the difference was 11%-36%).</w:t>
      </w:r>
    </w:p>
    <w:p w14:paraId="2FD164A2" w14:textId="636AEB6A"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62</w:t>
      </w:r>
      <w:r w:rsidR="001473F3" w:rsidRPr="00A75E02">
        <w:rPr>
          <w:rFonts w:ascii="Times New Roman" w:hAnsi="Times New Roman"/>
          <w:sz w:val="24"/>
          <w:szCs w:val="24"/>
        </w:rPr>
        <w:t xml:space="preserve">. The analysis of the findings of the </w:t>
      </w:r>
      <w:r w:rsidR="008B7EBB">
        <w:rPr>
          <w:rFonts w:ascii="Times New Roman" w:hAnsi="Times New Roman"/>
          <w:sz w:val="24"/>
          <w:szCs w:val="24"/>
        </w:rPr>
        <w:t>Population and Housing Census in</w:t>
      </w:r>
      <w:r w:rsidR="001473F3" w:rsidRPr="00A75E02">
        <w:rPr>
          <w:rFonts w:ascii="Times New Roman" w:hAnsi="Times New Roman"/>
          <w:sz w:val="24"/>
          <w:szCs w:val="24"/>
        </w:rPr>
        <w:t xml:space="preserve"> 2001 and 2011 reveal significant changes in the main </w:t>
      </w:r>
      <w:r w:rsidR="008B7EBB">
        <w:rPr>
          <w:rFonts w:ascii="Times New Roman" w:hAnsi="Times New Roman"/>
          <w:sz w:val="24"/>
          <w:szCs w:val="24"/>
        </w:rPr>
        <w:t>sources of income of</w:t>
      </w:r>
      <w:r w:rsidR="001473F3" w:rsidRPr="00A75E02">
        <w:rPr>
          <w:rFonts w:ascii="Times New Roman" w:hAnsi="Times New Roman"/>
          <w:sz w:val="24"/>
          <w:szCs w:val="24"/>
        </w:rPr>
        <w:t xml:space="preserve"> Roma</w:t>
      </w:r>
      <w:r w:rsidR="008B7EBB">
        <w:rPr>
          <w:rFonts w:ascii="Times New Roman" w:hAnsi="Times New Roman"/>
          <w:sz w:val="24"/>
          <w:szCs w:val="24"/>
        </w:rPr>
        <w:t xml:space="preserve"> community in Lithuania</w:t>
      </w:r>
      <w:r w:rsidR="001473F3" w:rsidRPr="00A75E02">
        <w:rPr>
          <w:rFonts w:ascii="Times New Roman" w:hAnsi="Times New Roman"/>
          <w:sz w:val="24"/>
          <w:szCs w:val="24"/>
        </w:rPr>
        <w:t>. Over the last ten years the share of Roma whose main source of income is non-formal individual activity (non-formal trade) substantially decreased from 27% in 2001 to 5% in 2011.</w:t>
      </w:r>
      <w:r w:rsidR="001601D9">
        <w:rPr>
          <w:rFonts w:ascii="Times New Roman" w:hAnsi="Times New Roman"/>
          <w:sz w:val="24"/>
          <w:szCs w:val="24"/>
        </w:rPr>
        <w:t xml:space="preserve"> </w:t>
      </w:r>
      <w:r w:rsidR="001473F3" w:rsidRPr="00A75E02">
        <w:rPr>
          <w:rFonts w:ascii="Times New Roman" w:hAnsi="Times New Roman"/>
          <w:sz w:val="24"/>
          <w:szCs w:val="24"/>
        </w:rPr>
        <w:t xml:space="preserve">During the same period, the </w:t>
      </w:r>
      <w:r w:rsidR="001473F3" w:rsidRPr="00A75E02">
        <w:rPr>
          <w:rFonts w:ascii="Times New Roman" w:hAnsi="Times New Roman"/>
          <w:sz w:val="24"/>
          <w:szCs w:val="24"/>
        </w:rPr>
        <w:lastRenderedPageBreak/>
        <w:t xml:space="preserve">share of Roma whose main source of income is </w:t>
      </w:r>
      <w:r w:rsidR="008B7EBB">
        <w:rPr>
          <w:rFonts w:ascii="Times New Roman" w:hAnsi="Times New Roman"/>
          <w:sz w:val="24"/>
          <w:szCs w:val="24"/>
        </w:rPr>
        <w:t xml:space="preserve">social </w:t>
      </w:r>
      <w:r w:rsidR="001473F3" w:rsidRPr="00A75E02">
        <w:rPr>
          <w:rFonts w:ascii="Times New Roman" w:hAnsi="Times New Roman"/>
          <w:sz w:val="24"/>
          <w:szCs w:val="24"/>
        </w:rPr>
        <w:t>benefits grew twofold fr</w:t>
      </w:r>
      <w:r w:rsidR="006422A3" w:rsidRPr="00A75E02">
        <w:rPr>
          <w:rFonts w:ascii="Times New Roman" w:hAnsi="Times New Roman"/>
          <w:sz w:val="24"/>
          <w:szCs w:val="24"/>
        </w:rPr>
        <w:t>om 13% in 2001 to 26% in 2011.</w:t>
      </w:r>
      <w:r w:rsidR="001473F3" w:rsidRPr="00A75E02">
        <w:rPr>
          <w:rFonts w:ascii="Times New Roman" w:hAnsi="Times New Roman"/>
          <w:sz w:val="24"/>
          <w:szCs w:val="24"/>
        </w:rPr>
        <w:t xml:space="preserve"> The share of Roma whose main source of income is wages grew slightly from 1% to 5%.</w:t>
      </w:r>
    </w:p>
    <w:p w14:paraId="0F0E6FE6" w14:textId="291A8E6D"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63</w:t>
      </w:r>
      <w:r w:rsidR="001473F3" w:rsidRPr="00A75E02">
        <w:rPr>
          <w:rFonts w:ascii="Times New Roman" w:hAnsi="Times New Roman"/>
          <w:sz w:val="24"/>
          <w:szCs w:val="24"/>
        </w:rPr>
        <w:t xml:space="preserve">. The 2014 </w:t>
      </w:r>
      <w:r w:rsidR="0045714A" w:rsidRPr="00A75E02">
        <w:rPr>
          <w:rFonts w:ascii="Times New Roman" w:hAnsi="Times New Roman"/>
          <w:sz w:val="24"/>
          <w:szCs w:val="24"/>
        </w:rPr>
        <w:t>s</w:t>
      </w:r>
      <w:r w:rsidR="001473F3" w:rsidRPr="00A75E02">
        <w:rPr>
          <w:rFonts w:ascii="Times New Roman" w:hAnsi="Times New Roman"/>
          <w:sz w:val="24"/>
          <w:szCs w:val="24"/>
        </w:rPr>
        <w:t xml:space="preserve">tudy revealed that 24% of Roma </w:t>
      </w:r>
      <w:proofErr w:type="gramStart"/>
      <w:r w:rsidR="001473F3" w:rsidRPr="00A75E02">
        <w:rPr>
          <w:rFonts w:ascii="Times New Roman" w:hAnsi="Times New Roman"/>
          <w:sz w:val="24"/>
          <w:szCs w:val="24"/>
        </w:rPr>
        <w:t>were not covered</w:t>
      </w:r>
      <w:proofErr w:type="gramEnd"/>
      <w:r w:rsidR="001473F3" w:rsidRPr="00A75E02">
        <w:rPr>
          <w:rFonts w:ascii="Times New Roman" w:hAnsi="Times New Roman"/>
          <w:sz w:val="24"/>
          <w:szCs w:val="24"/>
        </w:rPr>
        <w:t xml:space="preserve"> by the compulsory health insurance, whereas the share</w:t>
      </w:r>
      <w:r w:rsidR="006422A3" w:rsidRPr="00A75E02">
        <w:rPr>
          <w:rFonts w:ascii="Times New Roman" w:hAnsi="Times New Roman"/>
          <w:sz w:val="24"/>
          <w:szCs w:val="24"/>
        </w:rPr>
        <w:t xml:space="preserve"> of non-insured persons in the </w:t>
      </w:r>
      <w:r w:rsidR="001473F3" w:rsidRPr="00A75E02">
        <w:rPr>
          <w:rFonts w:ascii="Times New Roman" w:hAnsi="Times New Roman"/>
          <w:sz w:val="24"/>
          <w:szCs w:val="24"/>
        </w:rPr>
        <w:t>country amounte</w:t>
      </w:r>
      <w:r w:rsidR="008B7EBB">
        <w:rPr>
          <w:rFonts w:ascii="Times New Roman" w:hAnsi="Times New Roman"/>
          <w:sz w:val="24"/>
          <w:szCs w:val="24"/>
        </w:rPr>
        <w:t>d to 9% during the same period in 2011</w:t>
      </w:r>
      <w:r w:rsidR="001473F3" w:rsidRPr="00A75E02">
        <w:rPr>
          <w:rFonts w:ascii="Times New Roman" w:hAnsi="Times New Roman"/>
          <w:sz w:val="24"/>
          <w:szCs w:val="24"/>
        </w:rPr>
        <w:t xml:space="preserve">. The compulsory health insurance covers all children under the age of 18, also women who </w:t>
      </w:r>
      <w:proofErr w:type="gramStart"/>
      <w:r w:rsidR="001473F3" w:rsidRPr="00A75E02">
        <w:rPr>
          <w:rFonts w:ascii="Times New Roman" w:hAnsi="Times New Roman"/>
          <w:sz w:val="24"/>
          <w:szCs w:val="24"/>
        </w:rPr>
        <w:t>have been granted</w:t>
      </w:r>
      <w:proofErr w:type="gramEnd"/>
      <w:r w:rsidR="001473F3" w:rsidRPr="00A75E02">
        <w:rPr>
          <w:rFonts w:ascii="Times New Roman" w:hAnsi="Times New Roman"/>
          <w:sz w:val="24"/>
          <w:szCs w:val="24"/>
        </w:rPr>
        <w:t xml:space="preserve"> a maternity leave under the procedure prescribed by the law and unemployed women during their pregnancy for 70 days. The findings of the 2011 population census show that the share of persons who are unemployed because of their disability is significantly larger in the Roma </w:t>
      </w:r>
      <w:r w:rsidR="008B7EBB">
        <w:rPr>
          <w:rFonts w:ascii="Times New Roman" w:hAnsi="Times New Roman"/>
          <w:sz w:val="24"/>
          <w:szCs w:val="24"/>
        </w:rPr>
        <w:t>community</w:t>
      </w:r>
      <w:r w:rsidR="001473F3" w:rsidRPr="00A75E02">
        <w:rPr>
          <w:rFonts w:ascii="Times New Roman" w:hAnsi="Times New Roman"/>
          <w:sz w:val="24"/>
          <w:szCs w:val="24"/>
        </w:rPr>
        <w:t xml:space="preserve"> – 16% of economically inactive persons were unemployed because of their disability in the Roma </w:t>
      </w:r>
      <w:r w:rsidR="008B7EBB">
        <w:rPr>
          <w:rFonts w:ascii="Times New Roman" w:hAnsi="Times New Roman"/>
          <w:sz w:val="24"/>
          <w:szCs w:val="24"/>
        </w:rPr>
        <w:t>community</w:t>
      </w:r>
      <w:r w:rsidR="001473F3" w:rsidRPr="00A75E02">
        <w:rPr>
          <w:rFonts w:ascii="Times New Roman" w:hAnsi="Times New Roman"/>
          <w:sz w:val="24"/>
          <w:szCs w:val="24"/>
        </w:rPr>
        <w:t>, where the national average stood at a mere 4%.</w:t>
      </w:r>
    </w:p>
    <w:p w14:paraId="37E78440" w14:textId="5AB6271F"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64</w:t>
      </w:r>
      <w:r w:rsidR="001473F3" w:rsidRPr="00A75E02">
        <w:rPr>
          <w:rFonts w:ascii="Times New Roman" w:hAnsi="Times New Roman"/>
          <w:sz w:val="24"/>
          <w:szCs w:val="24"/>
        </w:rPr>
        <w:t xml:space="preserve">. The 2014 </w:t>
      </w:r>
      <w:r w:rsidR="00FD1826" w:rsidRPr="00A75E02">
        <w:rPr>
          <w:rFonts w:ascii="Times New Roman" w:hAnsi="Times New Roman"/>
          <w:sz w:val="24"/>
          <w:szCs w:val="24"/>
        </w:rPr>
        <w:t>s</w:t>
      </w:r>
      <w:r w:rsidR="001473F3" w:rsidRPr="00A75E02">
        <w:rPr>
          <w:rFonts w:ascii="Times New Roman" w:hAnsi="Times New Roman"/>
          <w:sz w:val="24"/>
          <w:szCs w:val="24"/>
        </w:rPr>
        <w:t xml:space="preserve">tudy </w:t>
      </w:r>
      <w:r w:rsidR="008B7EBB">
        <w:rPr>
          <w:rFonts w:ascii="Times New Roman" w:hAnsi="Times New Roman"/>
          <w:sz w:val="24"/>
          <w:szCs w:val="24"/>
        </w:rPr>
        <w:t>provided first detailed analysis of</w:t>
      </w:r>
      <w:r w:rsidR="001473F3" w:rsidRPr="00A75E02">
        <w:rPr>
          <w:rFonts w:ascii="Times New Roman" w:hAnsi="Times New Roman"/>
          <w:sz w:val="24"/>
          <w:szCs w:val="24"/>
        </w:rPr>
        <w:t xml:space="preserve"> the situation</w:t>
      </w:r>
      <w:r w:rsidR="00C767A4">
        <w:rPr>
          <w:rFonts w:ascii="Times New Roman" w:hAnsi="Times New Roman"/>
          <w:sz w:val="24"/>
          <w:szCs w:val="24"/>
        </w:rPr>
        <w:t xml:space="preserve"> of Roma women</w:t>
      </w:r>
      <w:r w:rsidR="008B7EBB">
        <w:rPr>
          <w:rFonts w:ascii="Times New Roman" w:hAnsi="Times New Roman"/>
          <w:sz w:val="24"/>
          <w:szCs w:val="24"/>
        </w:rPr>
        <w:t xml:space="preserve"> in Lithuania</w:t>
      </w:r>
      <w:r w:rsidR="00C767A4">
        <w:rPr>
          <w:rFonts w:ascii="Times New Roman" w:hAnsi="Times New Roman"/>
          <w:sz w:val="24"/>
          <w:szCs w:val="24"/>
        </w:rPr>
        <w:t xml:space="preserve">. </w:t>
      </w:r>
      <w:r w:rsidR="008B7EBB">
        <w:rPr>
          <w:rFonts w:ascii="Times New Roman" w:hAnsi="Times New Roman"/>
          <w:sz w:val="24"/>
          <w:szCs w:val="24"/>
        </w:rPr>
        <w:t>W</w:t>
      </w:r>
      <w:r w:rsidR="001473F3" w:rsidRPr="00A75E02">
        <w:rPr>
          <w:rFonts w:ascii="Times New Roman" w:hAnsi="Times New Roman"/>
          <w:sz w:val="24"/>
          <w:szCs w:val="24"/>
        </w:rPr>
        <w:t>omen accounted for a slightly larger share (52% / 1</w:t>
      </w:r>
      <w:r w:rsidR="006422A3" w:rsidRPr="00A75E02">
        <w:rPr>
          <w:rFonts w:ascii="Times New Roman" w:hAnsi="Times New Roman"/>
          <w:sz w:val="24"/>
          <w:szCs w:val="24"/>
        </w:rPr>
        <w:t> </w:t>
      </w:r>
      <w:r w:rsidR="001473F3" w:rsidRPr="00A75E02">
        <w:rPr>
          <w:rFonts w:ascii="Times New Roman" w:hAnsi="Times New Roman"/>
          <w:sz w:val="24"/>
          <w:szCs w:val="24"/>
        </w:rPr>
        <w:t xml:space="preserve">101 persons) </w:t>
      </w:r>
      <w:proofErr w:type="gramStart"/>
      <w:r w:rsidR="001473F3" w:rsidRPr="00A75E02">
        <w:rPr>
          <w:rFonts w:ascii="Times New Roman" w:hAnsi="Times New Roman"/>
          <w:sz w:val="24"/>
          <w:szCs w:val="24"/>
        </w:rPr>
        <w:t>than men</w:t>
      </w:r>
      <w:proofErr w:type="gramEnd"/>
      <w:r w:rsidR="001473F3" w:rsidRPr="00A75E02">
        <w:rPr>
          <w:rFonts w:ascii="Times New Roman" w:hAnsi="Times New Roman"/>
          <w:sz w:val="24"/>
          <w:szCs w:val="24"/>
        </w:rPr>
        <w:t xml:space="preserve"> (48% / 1</w:t>
      </w:r>
      <w:r w:rsidR="006422A3" w:rsidRPr="00A75E02">
        <w:rPr>
          <w:rFonts w:ascii="Times New Roman" w:hAnsi="Times New Roman"/>
          <w:sz w:val="24"/>
          <w:szCs w:val="24"/>
        </w:rPr>
        <w:t> </w:t>
      </w:r>
      <w:r w:rsidR="001473F3" w:rsidRPr="00A75E02">
        <w:rPr>
          <w:rFonts w:ascii="Times New Roman" w:hAnsi="Times New Roman"/>
          <w:sz w:val="24"/>
          <w:szCs w:val="24"/>
        </w:rPr>
        <w:t>014 persons)</w:t>
      </w:r>
      <w:r w:rsidR="008B7EBB">
        <w:rPr>
          <w:rFonts w:ascii="Times New Roman" w:hAnsi="Times New Roman"/>
          <w:sz w:val="24"/>
          <w:szCs w:val="24"/>
        </w:rPr>
        <w:t xml:space="preserve"> in Roma community</w:t>
      </w:r>
      <w:r w:rsidR="001473F3" w:rsidRPr="00A75E02">
        <w:rPr>
          <w:rFonts w:ascii="Times New Roman" w:hAnsi="Times New Roman"/>
          <w:sz w:val="24"/>
          <w:szCs w:val="24"/>
        </w:rPr>
        <w:t>.</w:t>
      </w:r>
      <w:r w:rsidR="001601D9">
        <w:rPr>
          <w:rFonts w:ascii="Times New Roman" w:hAnsi="Times New Roman"/>
          <w:sz w:val="24"/>
          <w:szCs w:val="24"/>
        </w:rPr>
        <w:t xml:space="preserve"> </w:t>
      </w:r>
      <w:r w:rsidR="001473F3" w:rsidRPr="00A75E02">
        <w:rPr>
          <w:rFonts w:ascii="Times New Roman" w:hAnsi="Times New Roman"/>
          <w:sz w:val="24"/>
          <w:szCs w:val="24"/>
        </w:rPr>
        <w:t>Gender breakdown differences are part</w:t>
      </w:r>
      <w:r w:rsidR="008B7EBB">
        <w:rPr>
          <w:rFonts w:ascii="Times New Roman" w:hAnsi="Times New Roman"/>
          <w:sz w:val="24"/>
          <w:szCs w:val="24"/>
        </w:rPr>
        <w:t>icularly evident in</w:t>
      </w:r>
      <w:r w:rsidR="001473F3" w:rsidRPr="00A75E02">
        <w:rPr>
          <w:rFonts w:ascii="Times New Roman" w:hAnsi="Times New Roman"/>
          <w:sz w:val="24"/>
          <w:szCs w:val="24"/>
        </w:rPr>
        <w:t xml:space="preserve"> Roma</w:t>
      </w:r>
      <w:r w:rsidR="008B7EBB">
        <w:rPr>
          <w:rFonts w:ascii="Times New Roman" w:hAnsi="Times New Roman"/>
          <w:sz w:val="24"/>
          <w:szCs w:val="24"/>
        </w:rPr>
        <w:t xml:space="preserve"> community</w:t>
      </w:r>
      <w:r w:rsidR="001473F3" w:rsidRPr="00A75E02">
        <w:rPr>
          <w:rFonts w:ascii="Times New Roman" w:hAnsi="Times New Roman"/>
          <w:sz w:val="24"/>
          <w:szCs w:val="24"/>
        </w:rPr>
        <w:t xml:space="preserve"> aged 30 years and over - in this age group women account for 57% and men - 43% of the number of Lithuania’s Roma</w:t>
      </w:r>
      <w:r w:rsidR="008B7EBB">
        <w:rPr>
          <w:rFonts w:ascii="Times New Roman" w:hAnsi="Times New Roman"/>
          <w:sz w:val="24"/>
          <w:szCs w:val="24"/>
        </w:rPr>
        <w:t xml:space="preserve"> community</w:t>
      </w:r>
      <w:r w:rsidR="001473F3" w:rsidRPr="00A75E02">
        <w:rPr>
          <w:rFonts w:ascii="Times New Roman" w:hAnsi="Times New Roman"/>
          <w:sz w:val="24"/>
          <w:szCs w:val="24"/>
        </w:rPr>
        <w:t>.</w:t>
      </w:r>
      <w:r w:rsidR="001601D9">
        <w:rPr>
          <w:rFonts w:ascii="Times New Roman" w:hAnsi="Times New Roman"/>
          <w:sz w:val="24"/>
          <w:szCs w:val="24"/>
        </w:rPr>
        <w:t xml:space="preserve"> </w:t>
      </w:r>
      <w:r w:rsidR="001473F3" w:rsidRPr="00A75E02">
        <w:rPr>
          <w:rFonts w:ascii="Times New Roman" w:hAnsi="Times New Roman"/>
          <w:sz w:val="24"/>
          <w:szCs w:val="24"/>
        </w:rPr>
        <w:t xml:space="preserve"> </w:t>
      </w:r>
      <w:proofErr w:type="gramStart"/>
      <w:r w:rsidR="001473F3" w:rsidRPr="00A75E02">
        <w:rPr>
          <w:rFonts w:ascii="Times New Roman" w:hAnsi="Times New Roman"/>
          <w:sz w:val="24"/>
          <w:szCs w:val="24"/>
        </w:rPr>
        <w:t>There are certain differences in the</w:t>
      </w:r>
      <w:r w:rsidR="00E94663">
        <w:rPr>
          <w:rFonts w:ascii="Times New Roman" w:hAnsi="Times New Roman"/>
          <w:sz w:val="24"/>
          <w:szCs w:val="24"/>
        </w:rPr>
        <w:t xml:space="preserve"> acquired education</w:t>
      </w:r>
      <w:r w:rsidR="001473F3" w:rsidRPr="00A75E02">
        <w:rPr>
          <w:rFonts w:ascii="Times New Roman" w:hAnsi="Times New Roman"/>
          <w:sz w:val="24"/>
          <w:szCs w:val="24"/>
        </w:rPr>
        <w:t xml:space="preserve"> </w:t>
      </w:r>
      <w:r w:rsidR="00E94663">
        <w:rPr>
          <w:rFonts w:ascii="Times New Roman" w:hAnsi="Times New Roman"/>
          <w:sz w:val="24"/>
          <w:szCs w:val="24"/>
        </w:rPr>
        <w:t>among</w:t>
      </w:r>
      <w:r w:rsidR="001473F3" w:rsidRPr="00A75E02">
        <w:rPr>
          <w:rFonts w:ascii="Times New Roman" w:hAnsi="Times New Roman"/>
          <w:sz w:val="24"/>
          <w:szCs w:val="24"/>
        </w:rPr>
        <w:t xml:space="preserve"> Roma women and men; however, they are minor – the number of women who are illiterate or who have not attained primary education (the difference is 1%) or who have </w:t>
      </w:r>
      <w:r w:rsidR="00E94663">
        <w:rPr>
          <w:rFonts w:ascii="Times New Roman" w:hAnsi="Times New Roman"/>
          <w:sz w:val="24"/>
          <w:szCs w:val="24"/>
        </w:rPr>
        <w:t xml:space="preserve">acquired </w:t>
      </w:r>
      <w:r w:rsidR="001473F3" w:rsidRPr="00A75E02">
        <w:rPr>
          <w:rFonts w:ascii="Times New Roman" w:hAnsi="Times New Roman"/>
          <w:sz w:val="24"/>
          <w:szCs w:val="24"/>
        </w:rPr>
        <w:t>primary educati</w:t>
      </w:r>
      <w:r w:rsidR="00281141" w:rsidRPr="00A75E02">
        <w:rPr>
          <w:rFonts w:ascii="Times New Roman" w:hAnsi="Times New Roman"/>
          <w:sz w:val="24"/>
          <w:szCs w:val="24"/>
        </w:rPr>
        <w:t xml:space="preserve">on only (the difference is 3%) </w:t>
      </w:r>
      <w:r w:rsidR="001473F3" w:rsidRPr="00A75E02">
        <w:rPr>
          <w:rFonts w:ascii="Times New Roman" w:hAnsi="Times New Roman"/>
          <w:sz w:val="24"/>
          <w:szCs w:val="24"/>
        </w:rPr>
        <w:t xml:space="preserve">is slightly larger, whereas there are slightly more men who have </w:t>
      </w:r>
      <w:r w:rsidR="00E94663">
        <w:rPr>
          <w:rFonts w:ascii="Times New Roman" w:hAnsi="Times New Roman"/>
          <w:sz w:val="24"/>
          <w:szCs w:val="24"/>
        </w:rPr>
        <w:t>acquired</w:t>
      </w:r>
      <w:r w:rsidR="001473F3" w:rsidRPr="00A75E02">
        <w:rPr>
          <w:rFonts w:ascii="Times New Roman" w:hAnsi="Times New Roman"/>
          <w:sz w:val="24"/>
          <w:szCs w:val="24"/>
        </w:rPr>
        <w:t xml:space="preserve"> basic education (the difference is 4%).</w:t>
      </w:r>
      <w:proofErr w:type="gramEnd"/>
      <w:r w:rsidR="001473F3" w:rsidRPr="00A75E02">
        <w:rPr>
          <w:rFonts w:ascii="Times New Roman" w:hAnsi="Times New Roman"/>
          <w:sz w:val="24"/>
          <w:szCs w:val="24"/>
        </w:rPr>
        <w:t xml:space="preserve"> The situation of women in terms of empl</w:t>
      </w:r>
      <w:r w:rsidR="00311400" w:rsidRPr="00A75E02">
        <w:rPr>
          <w:rFonts w:ascii="Times New Roman" w:hAnsi="Times New Roman"/>
          <w:sz w:val="24"/>
          <w:szCs w:val="24"/>
        </w:rPr>
        <w:t xml:space="preserve">oyment is </w:t>
      </w:r>
      <w:r w:rsidR="001473F3" w:rsidRPr="00A75E02">
        <w:rPr>
          <w:rFonts w:ascii="Times New Roman" w:hAnsi="Times New Roman"/>
          <w:sz w:val="24"/>
          <w:szCs w:val="24"/>
        </w:rPr>
        <w:t>worse than that of men. The researchers note that less active participation of wom</w:t>
      </w:r>
      <w:r w:rsidR="003613AD">
        <w:rPr>
          <w:rFonts w:ascii="Times New Roman" w:hAnsi="Times New Roman"/>
          <w:sz w:val="24"/>
          <w:szCs w:val="24"/>
        </w:rPr>
        <w:t>en</w:t>
      </w:r>
      <w:r w:rsidR="00E94663">
        <w:rPr>
          <w:rFonts w:ascii="Times New Roman" w:hAnsi="Times New Roman"/>
          <w:sz w:val="24"/>
          <w:szCs w:val="24"/>
        </w:rPr>
        <w:t xml:space="preserve"> in labour market</w:t>
      </w:r>
      <w:r w:rsidR="003613AD">
        <w:rPr>
          <w:rFonts w:ascii="Times New Roman" w:hAnsi="Times New Roman"/>
          <w:sz w:val="24"/>
          <w:szCs w:val="24"/>
        </w:rPr>
        <w:t xml:space="preserve"> is determined not only by</w:t>
      </w:r>
      <w:r w:rsidR="001473F3" w:rsidRPr="00A75E02">
        <w:rPr>
          <w:rFonts w:ascii="Times New Roman" w:hAnsi="Times New Roman"/>
          <w:sz w:val="24"/>
          <w:szCs w:val="24"/>
        </w:rPr>
        <w:t xml:space="preserve"> stereotypes related to their role in society and family, but also by rigid attitude of employers. The integration of Roma wome</w:t>
      </w:r>
      <w:r w:rsidR="00311400" w:rsidRPr="00A75E02">
        <w:rPr>
          <w:rFonts w:ascii="Times New Roman" w:hAnsi="Times New Roman"/>
          <w:sz w:val="24"/>
          <w:szCs w:val="24"/>
        </w:rPr>
        <w:t xml:space="preserve">n into the labour market is </w:t>
      </w:r>
      <w:r w:rsidR="001473F3" w:rsidRPr="00A75E02">
        <w:rPr>
          <w:rFonts w:ascii="Times New Roman" w:hAnsi="Times New Roman"/>
          <w:sz w:val="24"/>
          <w:szCs w:val="24"/>
        </w:rPr>
        <w:t xml:space="preserve">also encumbered by early marriages, as approximately one fourth (25%) of </w:t>
      </w:r>
      <w:proofErr w:type="gramStart"/>
      <w:r w:rsidR="001473F3" w:rsidRPr="00A75E02">
        <w:rPr>
          <w:rFonts w:ascii="Times New Roman" w:hAnsi="Times New Roman"/>
          <w:sz w:val="24"/>
          <w:szCs w:val="24"/>
        </w:rPr>
        <w:t>Roma</w:t>
      </w:r>
      <w:proofErr w:type="gramEnd"/>
      <w:r w:rsidR="001473F3" w:rsidRPr="00A75E02">
        <w:rPr>
          <w:rFonts w:ascii="Times New Roman" w:hAnsi="Times New Roman"/>
          <w:sz w:val="24"/>
          <w:szCs w:val="24"/>
        </w:rPr>
        <w:t xml:space="preserve"> girls give birth to their first child while being </w:t>
      </w:r>
      <w:r w:rsidR="00E56BF4" w:rsidRPr="00A75E02">
        <w:rPr>
          <w:rFonts w:ascii="Times New Roman" w:hAnsi="Times New Roman"/>
          <w:sz w:val="24"/>
          <w:szCs w:val="24"/>
        </w:rPr>
        <w:t>minor</w:t>
      </w:r>
      <w:r w:rsidR="001473F3" w:rsidRPr="00A75E02">
        <w:rPr>
          <w:rFonts w:ascii="Times New Roman" w:hAnsi="Times New Roman"/>
          <w:sz w:val="24"/>
          <w:szCs w:val="24"/>
        </w:rPr>
        <w:t xml:space="preserve"> (younger than 18 years old). </w:t>
      </w:r>
    </w:p>
    <w:p w14:paraId="47C95FD8" w14:textId="77777777" w:rsidR="00295536" w:rsidRPr="00A75E02" w:rsidRDefault="00295536" w:rsidP="00295536">
      <w:pPr>
        <w:spacing w:before="100" w:beforeAutospacing="1" w:after="100" w:afterAutospacing="1" w:line="240" w:lineRule="auto"/>
        <w:jc w:val="both"/>
        <w:rPr>
          <w:rFonts w:ascii="Times New Roman" w:hAnsi="Times New Roman" w:cs="Times New Roman"/>
          <w:b/>
          <w:sz w:val="24"/>
          <w:szCs w:val="24"/>
        </w:rPr>
      </w:pPr>
      <w:proofErr w:type="gramStart"/>
      <w:r w:rsidRPr="00A75E02">
        <w:rPr>
          <w:rFonts w:ascii="Times New Roman" w:hAnsi="Times New Roman"/>
          <w:b/>
          <w:sz w:val="24"/>
          <w:szCs w:val="24"/>
        </w:rPr>
        <w:t>I.(</w:t>
      </w:r>
      <w:proofErr w:type="gramEnd"/>
      <w:r w:rsidRPr="00A75E02">
        <w:rPr>
          <w:rFonts w:ascii="Times New Roman" w:hAnsi="Times New Roman"/>
          <w:b/>
          <w:sz w:val="24"/>
          <w:szCs w:val="24"/>
        </w:rPr>
        <w:t>b) Roma integration programmes</w:t>
      </w:r>
    </w:p>
    <w:p w14:paraId="136EBE15" w14:textId="6F67223D"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65</w:t>
      </w:r>
      <w:r w:rsidR="001473F3" w:rsidRPr="00A75E02">
        <w:rPr>
          <w:rFonts w:ascii="Times New Roman" w:hAnsi="Times New Roman"/>
          <w:sz w:val="24"/>
          <w:szCs w:val="24"/>
        </w:rPr>
        <w:t>. Aiming to ensure full Roma integration into the Lithuanian society the following Roma integration programmes are currently under implementation:</w:t>
      </w:r>
    </w:p>
    <w:p w14:paraId="1A7EF297" w14:textId="77777777" w:rsidR="00295536" w:rsidRPr="00A75E02" w:rsidRDefault="00295536" w:rsidP="00295536">
      <w:pPr>
        <w:spacing w:before="100" w:beforeAutospacing="1" w:after="100" w:afterAutospacing="1" w:line="240" w:lineRule="auto"/>
        <w:jc w:val="both"/>
        <w:rPr>
          <w:rFonts w:ascii="Times New Roman" w:hAnsi="Times New Roman" w:cs="Times New Roman"/>
          <w:b/>
          <w:sz w:val="24"/>
          <w:szCs w:val="24"/>
        </w:rPr>
      </w:pPr>
      <w:proofErr w:type="gramStart"/>
      <w:r w:rsidRPr="00A75E02">
        <w:rPr>
          <w:rFonts w:ascii="Times New Roman" w:hAnsi="Times New Roman"/>
          <w:b/>
          <w:sz w:val="24"/>
          <w:szCs w:val="24"/>
        </w:rPr>
        <w:t>I.(</w:t>
      </w:r>
      <w:proofErr w:type="gramEnd"/>
      <w:r w:rsidRPr="00A75E02">
        <w:rPr>
          <w:rFonts w:ascii="Times New Roman" w:hAnsi="Times New Roman"/>
          <w:b/>
          <w:sz w:val="24"/>
          <w:szCs w:val="24"/>
        </w:rPr>
        <w:t>b).1. Action plan for Roma integration into Lithuanian society for 2015-2020</w:t>
      </w:r>
    </w:p>
    <w:p w14:paraId="132D3EDC" w14:textId="3F455879"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66</w:t>
      </w:r>
      <w:r w:rsidR="001473F3" w:rsidRPr="00A75E02">
        <w:rPr>
          <w:rFonts w:ascii="Times New Roman" w:hAnsi="Times New Roman"/>
          <w:sz w:val="24"/>
          <w:szCs w:val="24"/>
        </w:rPr>
        <w:t xml:space="preserve">. The goals of the Action plan for Roma integration into Lithuanian society for 2015-2020 are as follows: to promote the integration into the education system; to increase access to health services; to promote employment; to seek the empowerment of Roma women; to improve housing conditions; to promote intercultural dialogue. </w:t>
      </w:r>
      <w:proofErr w:type="gramStart"/>
      <w:r w:rsidR="001473F3" w:rsidRPr="00A75E02">
        <w:rPr>
          <w:rFonts w:ascii="Times New Roman" w:hAnsi="Times New Roman"/>
          <w:sz w:val="24"/>
          <w:szCs w:val="24"/>
        </w:rPr>
        <w:t xml:space="preserve">Measures of the Action plan are implemented by </w:t>
      </w:r>
      <w:r w:rsidR="00C767A4">
        <w:rPr>
          <w:rFonts w:ascii="Times New Roman" w:hAnsi="Times New Roman"/>
          <w:sz w:val="24"/>
          <w:szCs w:val="24"/>
        </w:rPr>
        <w:t xml:space="preserve">the </w:t>
      </w:r>
      <w:r w:rsidR="001473F3" w:rsidRPr="00A75E02">
        <w:rPr>
          <w:rFonts w:ascii="Times New Roman" w:hAnsi="Times New Roman"/>
          <w:sz w:val="24"/>
          <w:szCs w:val="24"/>
        </w:rPr>
        <w:t xml:space="preserve">Ministry of Science and Education, </w:t>
      </w:r>
      <w:r w:rsidR="00C767A4">
        <w:rPr>
          <w:rFonts w:ascii="Times New Roman" w:hAnsi="Times New Roman"/>
          <w:sz w:val="24"/>
          <w:szCs w:val="24"/>
        </w:rPr>
        <w:t xml:space="preserve">the </w:t>
      </w:r>
      <w:r w:rsidR="001473F3" w:rsidRPr="00A75E02">
        <w:rPr>
          <w:rFonts w:ascii="Times New Roman" w:hAnsi="Times New Roman"/>
          <w:sz w:val="24"/>
          <w:szCs w:val="24"/>
        </w:rPr>
        <w:t xml:space="preserve">Ministry of Social Security and Labour, </w:t>
      </w:r>
      <w:r w:rsidR="00C767A4">
        <w:rPr>
          <w:rFonts w:ascii="Times New Roman" w:hAnsi="Times New Roman"/>
          <w:sz w:val="24"/>
          <w:szCs w:val="24"/>
        </w:rPr>
        <w:t>the</w:t>
      </w:r>
      <w:r w:rsidR="001473F3" w:rsidRPr="00A75E02">
        <w:rPr>
          <w:rFonts w:ascii="Times New Roman" w:hAnsi="Times New Roman"/>
          <w:sz w:val="24"/>
          <w:szCs w:val="24"/>
        </w:rPr>
        <w:t xml:space="preserve"> </w:t>
      </w:r>
      <w:r w:rsidR="0018683B" w:rsidRPr="00A75E02">
        <w:rPr>
          <w:rFonts w:ascii="Times New Roman" w:hAnsi="Times New Roman"/>
          <w:sz w:val="24"/>
          <w:szCs w:val="24"/>
        </w:rPr>
        <w:t xml:space="preserve">Ministry </w:t>
      </w:r>
      <w:r w:rsidR="001473F3" w:rsidRPr="00A75E02">
        <w:rPr>
          <w:rFonts w:ascii="Times New Roman" w:hAnsi="Times New Roman"/>
          <w:sz w:val="24"/>
          <w:szCs w:val="24"/>
        </w:rPr>
        <w:t xml:space="preserve">of Interior, </w:t>
      </w:r>
      <w:r w:rsidR="00C767A4">
        <w:rPr>
          <w:rFonts w:ascii="Times New Roman" w:hAnsi="Times New Roman"/>
          <w:sz w:val="24"/>
          <w:szCs w:val="24"/>
        </w:rPr>
        <w:t xml:space="preserve">the </w:t>
      </w:r>
      <w:r w:rsidR="001473F3" w:rsidRPr="00A75E02">
        <w:rPr>
          <w:rFonts w:ascii="Times New Roman" w:hAnsi="Times New Roman"/>
          <w:sz w:val="24"/>
          <w:szCs w:val="24"/>
        </w:rPr>
        <w:t xml:space="preserve">Ministry of Health, </w:t>
      </w:r>
      <w:r w:rsidR="00C767A4">
        <w:rPr>
          <w:rFonts w:ascii="Times New Roman" w:hAnsi="Times New Roman"/>
          <w:sz w:val="24"/>
          <w:szCs w:val="24"/>
        </w:rPr>
        <w:t xml:space="preserve">the </w:t>
      </w:r>
      <w:r w:rsidR="001473F3" w:rsidRPr="00A75E02">
        <w:rPr>
          <w:rFonts w:ascii="Times New Roman" w:hAnsi="Times New Roman"/>
          <w:sz w:val="24"/>
          <w:szCs w:val="24"/>
        </w:rPr>
        <w:t xml:space="preserve">NMD, </w:t>
      </w:r>
      <w:r w:rsidR="00C767A4">
        <w:rPr>
          <w:rFonts w:ascii="Times New Roman" w:hAnsi="Times New Roman"/>
          <w:sz w:val="24"/>
          <w:szCs w:val="24"/>
        </w:rPr>
        <w:t xml:space="preserve">the </w:t>
      </w:r>
      <w:r w:rsidR="00E7144E">
        <w:rPr>
          <w:rFonts w:ascii="Times New Roman" w:hAnsi="Times New Roman"/>
          <w:sz w:val="24"/>
          <w:szCs w:val="24"/>
        </w:rPr>
        <w:t>OEOO</w:t>
      </w:r>
      <w:r w:rsidR="001473F3" w:rsidRPr="00A75E02">
        <w:rPr>
          <w:rFonts w:ascii="Times New Roman" w:hAnsi="Times New Roman"/>
          <w:sz w:val="24"/>
          <w:szCs w:val="24"/>
        </w:rPr>
        <w:t xml:space="preserve">, </w:t>
      </w:r>
      <w:r w:rsidR="00C767A4">
        <w:rPr>
          <w:rFonts w:ascii="Times New Roman" w:hAnsi="Times New Roman"/>
          <w:sz w:val="24"/>
          <w:szCs w:val="24"/>
        </w:rPr>
        <w:t xml:space="preserve">the </w:t>
      </w:r>
      <w:r w:rsidR="001473F3" w:rsidRPr="00A75E02">
        <w:rPr>
          <w:rFonts w:ascii="Times New Roman" w:hAnsi="Times New Roman"/>
          <w:sz w:val="24"/>
          <w:szCs w:val="24"/>
        </w:rPr>
        <w:t xml:space="preserve">Education Development Centre, </w:t>
      </w:r>
      <w:r w:rsidR="00C767A4">
        <w:rPr>
          <w:rFonts w:ascii="Times New Roman" w:hAnsi="Times New Roman"/>
          <w:sz w:val="24"/>
          <w:szCs w:val="24"/>
        </w:rPr>
        <w:t xml:space="preserve">the </w:t>
      </w:r>
      <w:r w:rsidR="001473F3" w:rsidRPr="00A75E02">
        <w:rPr>
          <w:rFonts w:ascii="Times New Roman" w:hAnsi="Times New Roman"/>
          <w:sz w:val="24"/>
          <w:szCs w:val="24"/>
        </w:rPr>
        <w:t xml:space="preserve">National Centre for Special Needs Education and Psychology, </w:t>
      </w:r>
      <w:r w:rsidR="00C767A4">
        <w:rPr>
          <w:rFonts w:ascii="Times New Roman" w:hAnsi="Times New Roman"/>
          <w:sz w:val="24"/>
          <w:szCs w:val="24"/>
        </w:rPr>
        <w:t xml:space="preserve">the </w:t>
      </w:r>
      <w:r w:rsidR="001473F3" w:rsidRPr="00A75E02">
        <w:rPr>
          <w:rFonts w:ascii="Times New Roman" w:hAnsi="Times New Roman"/>
          <w:sz w:val="24"/>
          <w:szCs w:val="24"/>
        </w:rPr>
        <w:t xml:space="preserve">Lithuanian Centre of Non-formal Youth Education, </w:t>
      </w:r>
      <w:r w:rsidR="00C767A4">
        <w:rPr>
          <w:rFonts w:ascii="Times New Roman" w:hAnsi="Times New Roman"/>
          <w:sz w:val="24"/>
          <w:szCs w:val="24"/>
        </w:rPr>
        <w:t xml:space="preserve">the </w:t>
      </w:r>
      <w:r w:rsidR="001473F3" w:rsidRPr="00A75E02">
        <w:rPr>
          <w:rFonts w:ascii="Times New Roman" w:hAnsi="Times New Roman"/>
          <w:sz w:val="24"/>
          <w:szCs w:val="24"/>
        </w:rPr>
        <w:t xml:space="preserve">Lithuanian Labour Exchange and </w:t>
      </w:r>
      <w:r w:rsidR="00C767A4">
        <w:rPr>
          <w:rFonts w:ascii="Times New Roman" w:hAnsi="Times New Roman"/>
          <w:sz w:val="24"/>
          <w:szCs w:val="24"/>
        </w:rPr>
        <w:t xml:space="preserve">the </w:t>
      </w:r>
      <w:r w:rsidR="001473F3" w:rsidRPr="00A75E02">
        <w:rPr>
          <w:rFonts w:ascii="Times New Roman" w:hAnsi="Times New Roman"/>
          <w:sz w:val="24"/>
          <w:szCs w:val="24"/>
        </w:rPr>
        <w:t>Roma Community Centre.</w:t>
      </w:r>
      <w:proofErr w:type="gramEnd"/>
    </w:p>
    <w:p w14:paraId="49D133A5" w14:textId="6141499A"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67</w:t>
      </w:r>
      <w:r w:rsidR="001473F3" w:rsidRPr="00A75E02">
        <w:rPr>
          <w:rFonts w:ascii="Times New Roman" w:hAnsi="Times New Roman"/>
          <w:sz w:val="24"/>
          <w:szCs w:val="24"/>
        </w:rPr>
        <w:t>. In the framework of the Action plan for Roma integration into Lithua</w:t>
      </w:r>
      <w:r w:rsidR="0009588E">
        <w:rPr>
          <w:rFonts w:ascii="Times New Roman" w:hAnsi="Times New Roman"/>
          <w:sz w:val="24"/>
          <w:szCs w:val="24"/>
        </w:rPr>
        <w:t>nian society for 2015-2020, the</w:t>
      </w:r>
      <w:r w:rsidR="001473F3" w:rsidRPr="00A75E02">
        <w:rPr>
          <w:rFonts w:ascii="Times New Roman" w:hAnsi="Times New Roman"/>
          <w:sz w:val="24"/>
          <w:szCs w:val="24"/>
        </w:rPr>
        <w:t xml:space="preserve"> </w:t>
      </w:r>
      <w:r w:rsidR="00EA0302">
        <w:rPr>
          <w:rFonts w:ascii="Times New Roman" w:hAnsi="Times New Roman"/>
          <w:sz w:val="24"/>
          <w:szCs w:val="24"/>
        </w:rPr>
        <w:t>NMD</w:t>
      </w:r>
      <w:r w:rsidR="001473F3" w:rsidRPr="00A75E02">
        <w:rPr>
          <w:rFonts w:ascii="Times New Roman" w:hAnsi="Times New Roman"/>
          <w:sz w:val="24"/>
          <w:szCs w:val="24"/>
        </w:rPr>
        <w:t xml:space="preserve"> organised non-formal education of Roma children in the Roma Community Centre, also a summer camp, state language and computer literacy classes, financed the provision of in</w:t>
      </w:r>
      <w:r w:rsidR="00311400" w:rsidRPr="00A75E02">
        <w:rPr>
          <w:rFonts w:ascii="Times New Roman" w:hAnsi="Times New Roman"/>
          <w:sz w:val="24"/>
          <w:szCs w:val="24"/>
        </w:rPr>
        <w:t xml:space="preserve">tercultural mediation services </w:t>
      </w:r>
      <w:r w:rsidR="001473F3" w:rsidRPr="00A75E02">
        <w:rPr>
          <w:rFonts w:ascii="Times New Roman" w:hAnsi="Times New Roman"/>
          <w:sz w:val="24"/>
          <w:szCs w:val="24"/>
        </w:rPr>
        <w:t xml:space="preserve">to the Roma community residing in </w:t>
      </w:r>
      <w:proofErr w:type="spellStart"/>
      <w:r w:rsidR="001473F3" w:rsidRPr="00A75E02">
        <w:rPr>
          <w:rFonts w:ascii="Times New Roman" w:hAnsi="Times New Roman"/>
          <w:sz w:val="24"/>
          <w:szCs w:val="24"/>
        </w:rPr>
        <w:t>Kirtimai</w:t>
      </w:r>
      <w:proofErr w:type="spellEnd"/>
      <w:r w:rsidR="001473F3" w:rsidRPr="00A75E02">
        <w:rPr>
          <w:rFonts w:ascii="Times New Roman" w:hAnsi="Times New Roman"/>
          <w:sz w:val="24"/>
          <w:szCs w:val="24"/>
        </w:rPr>
        <w:t xml:space="preserve"> neighbourhood of Vilnius</w:t>
      </w:r>
      <w:r w:rsidR="00E94663">
        <w:rPr>
          <w:rFonts w:ascii="Times New Roman" w:hAnsi="Times New Roman"/>
          <w:sz w:val="24"/>
          <w:szCs w:val="24"/>
        </w:rPr>
        <w:t xml:space="preserve"> city municipality</w:t>
      </w:r>
      <w:r w:rsidR="001F0921" w:rsidRPr="00A75E02">
        <w:rPr>
          <w:rFonts w:ascii="Times New Roman" w:hAnsi="Times New Roman"/>
          <w:sz w:val="24"/>
          <w:szCs w:val="24"/>
        </w:rPr>
        <w:t>,</w:t>
      </w:r>
      <w:r w:rsidR="001473F3" w:rsidRPr="00A75E02">
        <w:rPr>
          <w:rFonts w:ascii="Times New Roman" w:hAnsi="Times New Roman"/>
          <w:sz w:val="24"/>
          <w:szCs w:val="24"/>
        </w:rPr>
        <w:t xml:space="preserve"> allocated funds for the dissem</w:t>
      </w:r>
      <w:r w:rsidR="00311400" w:rsidRPr="00A75E02">
        <w:rPr>
          <w:rFonts w:ascii="Times New Roman" w:hAnsi="Times New Roman"/>
          <w:sz w:val="24"/>
          <w:szCs w:val="24"/>
        </w:rPr>
        <w:t>ination of the culture of Roma</w:t>
      </w:r>
      <w:r w:rsidR="00D0447E" w:rsidRPr="00A75E02">
        <w:rPr>
          <w:rFonts w:ascii="Times New Roman" w:hAnsi="Times New Roman"/>
          <w:sz w:val="24"/>
          <w:szCs w:val="24"/>
        </w:rPr>
        <w:t xml:space="preserve"> and projects on non-governmental organisations</w:t>
      </w:r>
      <w:r w:rsidR="00311400" w:rsidRPr="00A75E02">
        <w:rPr>
          <w:rFonts w:ascii="Times New Roman" w:hAnsi="Times New Roman"/>
          <w:sz w:val="24"/>
          <w:szCs w:val="24"/>
        </w:rPr>
        <w:t>.</w:t>
      </w:r>
      <w:proofErr w:type="gramEnd"/>
      <w:r w:rsidR="001473F3" w:rsidRPr="00A75E02">
        <w:rPr>
          <w:rFonts w:ascii="Times New Roman" w:hAnsi="Times New Roman"/>
          <w:sz w:val="24"/>
          <w:szCs w:val="24"/>
        </w:rPr>
        <w:t xml:space="preserve"> The Ministry of Science an</w:t>
      </w:r>
      <w:r w:rsidR="00311400" w:rsidRPr="00A75E02">
        <w:rPr>
          <w:rFonts w:ascii="Times New Roman" w:hAnsi="Times New Roman"/>
          <w:sz w:val="24"/>
          <w:szCs w:val="24"/>
        </w:rPr>
        <w:t>d Education in cooperation with</w:t>
      </w:r>
      <w:r w:rsidR="001473F3" w:rsidRPr="00A75E02">
        <w:rPr>
          <w:rFonts w:ascii="Times New Roman" w:hAnsi="Times New Roman"/>
          <w:sz w:val="24"/>
          <w:szCs w:val="24"/>
        </w:rPr>
        <w:t xml:space="preserve"> the </w:t>
      </w:r>
      <w:r w:rsidR="001473F3" w:rsidRPr="00A75E02">
        <w:rPr>
          <w:rFonts w:ascii="Times New Roman" w:hAnsi="Times New Roman"/>
          <w:sz w:val="24"/>
          <w:szCs w:val="24"/>
        </w:rPr>
        <w:lastRenderedPageBreak/>
        <w:t xml:space="preserve">Education Development Centre organised a professional development seminar for teachers of general education teaching Roma children, consultations </w:t>
      </w:r>
      <w:r w:rsidR="006575B6" w:rsidRPr="00A75E02">
        <w:rPr>
          <w:rFonts w:ascii="Times New Roman" w:hAnsi="Times New Roman"/>
          <w:sz w:val="24"/>
          <w:szCs w:val="24"/>
        </w:rPr>
        <w:t>for</w:t>
      </w:r>
      <w:r w:rsidR="001473F3" w:rsidRPr="00A75E02">
        <w:rPr>
          <w:rFonts w:ascii="Times New Roman" w:hAnsi="Times New Roman"/>
          <w:sz w:val="24"/>
          <w:szCs w:val="24"/>
        </w:rPr>
        <w:t xml:space="preserve"> schools, a seminar for Child </w:t>
      </w:r>
      <w:r w:rsidR="006575B6" w:rsidRPr="00A75E02">
        <w:rPr>
          <w:rFonts w:ascii="Times New Roman" w:hAnsi="Times New Roman"/>
          <w:sz w:val="24"/>
          <w:szCs w:val="24"/>
        </w:rPr>
        <w:t>w</w:t>
      </w:r>
      <w:r w:rsidR="001473F3" w:rsidRPr="00A75E02">
        <w:rPr>
          <w:rFonts w:ascii="Times New Roman" w:hAnsi="Times New Roman"/>
          <w:sz w:val="24"/>
          <w:szCs w:val="24"/>
        </w:rPr>
        <w:t xml:space="preserve">ell-being </w:t>
      </w:r>
      <w:r w:rsidR="006575B6" w:rsidRPr="00A75E02">
        <w:rPr>
          <w:rFonts w:ascii="Times New Roman" w:hAnsi="Times New Roman"/>
          <w:sz w:val="24"/>
          <w:szCs w:val="24"/>
        </w:rPr>
        <w:t>c</w:t>
      </w:r>
      <w:r w:rsidR="001473F3" w:rsidRPr="00A75E02">
        <w:rPr>
          <w:rFonts w:ascii="Times New Roman" w:hAnsi="Times New Roman"/>
          <w:sz w:val="24"/>
          <w:szCs w:val="24"/>
        </w:rPr>
        <w:t xml:space="preserve">ommissions of schools and municipalities. Vilnius City Public Health Bureau </w:t>
      </w:r>
      <w:r w:rsidR="00E94663">
        <w:rPr>
          <w:rFonts w:ascii="Times New Roman" w:hAnsi="Times New Roman"/>
          <w:sz w:val="24"/>
          <w:szCs w:val="24"/>
        </w:rPr>
        <w:t>is organizing</w:t>
      </w:r>
      <w:r w:rsidR="001473F3" w:rsidRPr="00A75E02">
        <w:rPr>
          <w:rFonts w:ascii="Times New Roman" w:hAnsi="Times New Roman"/>
          <w:sz w:val="24"/>
          <w:szCs w:val="24"/>
        </w:rPr>
        <w:t xml:space="preserve"> lectures on sanitation and hygiene as well as lectures on healthy lifestyle fo</w:t>
      </w:r>
      <w:r w:rsidR="00E94663">
        <w:rPr>
          <w:rFonts w:ascii="Times New Roman" w:hAnsi="Times New Roman"/>
          <w:sz w:val="24"/>
          <w:szCs w:val="24"/>
        </w:rPr>
        <w:t>r Roma women and girls</w:t>
      </w:r>
      <w:r w:rsidR="001473F3" w:rsidRPr="00A75E02">
        <w:rPr>
          <w:rFonts w:ascii="Times New Roman" w:hAnsi="Times New Roman"/>
          <w:sz w:val="24"/>
          <w:szCs w:val="24"/>
        </w:rPr>
        <w:t xml:space="preserve">. The Office of Equal Opportunities Ombudsperson provided consultations </w:t>
      </w:r>
      <w:r w:rsidR="00D4125B" w:rsidRPr="00A75E02">
        <w:rPr>
          <w:rFonts w:ascii="Times New Roman" w:hAnsi="Times New Roman"/>
          <w:sz w:val="24"/>
          <w:szCs w:val="24"/>
        </w:rPr>
        <w:t xml:space="preserve">on issues of equal opportunities and non-discrimination </w:t>
      </w:r>
      <w:r w:rsidR="001473F3" w:rsidRPr="00A75E02">
        <w:rPr>
          <w:rFonts w:ascii="Times New Roman" w:hAnsi="Times New Roman"/>
          <w:sz w:val="24"/>
          <w:szCs w:val="24"/>
        </w:rPr>
        <w:t xml:space="preserve">to Roma and to non-governmental organisations that work with Roma. In addition, the study ‘Situation of </w:t>
      </w:r>
      <w:r w:rsidR="00447829">
        <w:rPr>
          <w:rFonts w:ascii="Times New Roman" w:hAnsi="Times New Roman"/>
          <w:sz w:val="24"/>
          <w:szCs w:val="24"/>
        </w:rPr>
        <w:t xml:space="preserve">the </w:t>
      </w:r>
      <w:r w:rsidR="001473F3" w:rsidRPr="00A75E02">
        <w:rPr>
          <w:rFonts w:ascii="Times New Roman" w:hAnsi="Times New Roman"/>
          <w:sz w:val="24"/>
          <w:szCs w:val="24"/>
        </w:rPr>
        <w:t>Roma People as Compared to Other Residents of Lithuania’ commission</w:t>
      </w:r>
      <w:r w:rsidR="0074685F">
        <w:rPr>
          <w:rFonts w:ascii="Times New Roman" w:hAnsi="Times New Roman"/>
          <w:sz w:val="24"/>
          <w:szCs w:val="24"/>
        </w:rPr>
        <w:t>ed</w:t>
      </w:r>
      <w:r w:rsidR="001473F3" w:rsidRPr="00A75E02">
        <w:rPr>
          <w:rFonts w:ascii="Times New Roman" w:hAnsi="Times New Roman"/>
          <w:sz w:val="24"/>
          <w:szCs w:val="24"/>
        </w:rPr>
        <w:t xml:space="preserve"> by the Office has been conducted; it serves </w:t>
      </w:r>
      <w:r w:rsidR="00217E13" w:rsidRPr="00A75E02">
        <w:rPr>
          <w:rFonts w:ascii="Times New Roman" w:hAnsi="Times New Roman"/>
          <w:sz w:val="24"/>
          <w:szCs w:val="24"/>
        </w:rPr>
        <w:t xml:space="preserve">as </w:t>
      </w:r>
      <w:r w:rsidR="001473F3" w:rsidRPr="00A75E02">
        <w:rPr>
          <w:rFonts w:ascii="Times New Roman" w:hAnsi="Times New Roman"/>
          <w:sz w:val="24"/>
          <w:szCs w:val="24"/>
        </w:rPr>
        <w:t>basis for the monitoring of the</w:t>
      </w:r>
      <w:r w:rsidR="0074685F">
        <w:rPr>
          <w:rFonts w:ascii="Times New Roman" w:hAnsi="Times New Roman"/>
          <w:sz w:val="24"/>
          <w:szCs w:val="24"/>
        </w:rPr>
        <w:t xml:space="preserve"> implementation of the</w:t>
      </w:r>
      <w:r w:rsidR="001473F3" w:rsidRPr="00A75E02">
        <w:rPr>
          <w:rFonts w:ascii="Times New Roman" w:hAnsi="Times New Roman"/>
          <w:sz w:val="24"/>
          <w:szCs w:val="24"/>
        </w:rPr>
        <w:t xml:space="preserve"> Action plan for Roma integration into Lithuanian society for 2015-2020. The Action plan for Roma integration into Lithuanian society for 2015-2020 attaches great importance to the employment of Roma. During </w:t>
      </w:r>
      <w:r w:rsidR="00447829">
        <w:rPr>
          <w:rFonts w:ascii="Times New Roman" w:hAnsi="Times New Roman"/>
          <w:sz w:val="24"/>
          <w:szCs w:val="24"/>
        </w:rPr>
        <w:t xml:space="preserve">the period </w:t>
      </w:r>
      <w:proofErr w:type="gramStart"/>
      <w:r w:rsidR="001473F3" w:rsidRPr="00A75E02">
        <w:rPr>
          <w:rFonts w:ascii="Times New Roman" w:hAnsi="Times New Roman"/>
          <w:sz w:val="24"/>
          <w:szCs w:val="24"/>
        </w:rPr>
        <w:t>2016-2020</w:t>
      </w:r>
      <w:proofErr w:type="gramEnd"/>
      <w:r w:rsidR="001473F3" w:rsidRPr="00A75E02">
        <w:rPr>
          <w:rFonts w:ascii="Times New Roman" w:hAnsi="Times New Roman"/>
          <w:sz w:val="24"/>
          <w:szCs w:val="24"/>
        </w:rPr>
        <w:t xml:space="preserve"> </w:t>
      </w:r>
      <w:r w:rsidR="00447829">
        <w:rPr>
          <w:rFonts w:ascii="Times New Roman" w:hAnsi="Times New Roman"/>
          <w:sz w:val="24"/>
          <w:szCs w:val="24"/>
        </w:rPr>
        <w:t xml:space="preserve">the </w:t>
      </w:r>
      <w:r w:rsidR="001473F3" w:rsidRPr="00A75E02">
        <w:rPr>
          <w:rFonts w:ascii="Times New Roman" w:hAnsi="Times New Roman"/>
          <w:sz w:val="24"/>
          <w:szCs w:val="24"/>
        </w:rPr>
        <w:t>Roma Community Centre in cooperation with non-governmental organisations</w:t>
      </w:r>
      <w:r w:rsidR="00447829">
        <w:rPr>
          <w:rFonts w:ascii="Times New Roman" w:hAnsi="Times New Roman"/>
          <w:sz w:val="24"/>
          <w:szCs w:val="24"/>
        </w:rPr>
        <w:t xml:space="preserve"> of</w:t>
      </w:r>
      <w:r w:rsidR="001473F3" w:rsidRPr="00A75E02">
        <w:rPr>
          <w:rFonts w:ascii="Times New Roman" w:hAnsi="Times New Roman"/>
          <w:sz w:val="24"/>
          <w:szCs w:val="24"/>
        </w:rPr>
        <w:t xml:space="preserve"> </w:t>
      </w:r>
      <w:r w:rsidR="00447829" w:rsidRPr="00A75E02">
        <w:rPr>
          <w:rFonts w:ascii="Times New Roman" w:hAnsi="Times New Roman"/>
          <w:sz w:val="24"/>
          <w:szCs w:val="24"/>
        </w:rPr>
        <w:t>Roma</w:t>
      </w:r>
      <w:r w:rsidR="0074685F">
        <w:rPr>
          <w:rFonts w:ascii="Times New Roman" w:hAnsi="Times New Roman"/>
          <w:sz w:val="24"/>
          <w:szCs w:val="24"/>
        </w:rPr>
        <w:t xml:space="preserve"> have been</w:t>
      </w:r>
      <w:r w:rsidR="00447829" w:rsidRPr="00A75E02">
        <w:rPr>
          <w:rFonts w:ascii="Times New Roman" w:hAnsi="Times New Roman"/>
          <w:sz w:val="24"/>
          <w:szCs w:val="24"/>
        </w:rPr>
        <w:t xml:space="preserve"> </w:t>
      </w:r>
      <w:r w:rsidR="001473F3" w:rsidRPr="00A75E02">
        <w:rPr>
          <w:rFonts w:ascii="Times New Roman" w:hAnsi="Times New Roman"/>
          <w:sz w:val="24"/>
          <w:szCs w:val="24"/>
        </w:rPr>
        <w:t>implement</w:t>
      </w:r>
      <w:r w:rsidR="0074685F">
        <w:rPr>
          <w:rFonts w:ascii="Times New Roman" w:hAnsi="Times New Roman"/>
          <w:sz w:val="24"/>
          <w:szCs w:val="24"/>
        </w:rPr>
        <w:t>ing</w:t>
      </w:r>
      <w:r w:rsidR="001473F3" w:rsidRPr="00A75E02">
        <w:rPr>
          <w:rFonts w:ascii="Times New Roman" w:hAnsi="Times New Roman"/>
          <w:sz w:val="24"/>
          <w:szCs w:val="24"/>
        </w:rPr>
        <w:t xml:space="preserve"> project on Roma employment and training ‘</w:t>
      </w:r>
      <w:proofErr w:type="spellStart"/>
      <w:r w:rsidR="001473F3" w:rsidRPr="00A75E02">
        <w:rPr>
          <w:rFonts w:ascii="Times New Roman" w:hAnsi="Times New Roman"/>
          <w:sz w:val="24"/>
          <w:szCs w:val="24"/>
        </w:rPr>
        <w:t>Lets</w:t>
      </w:r>
      <w:proofErr w:type="spellEnd"/>
      <w:r w:rsidR="001473F3" w:rsidRPr="00A75E02">
        <w:rPr>
          <w:rFonts w:ascii="Times New Roman" w:hAnsi="Times New Roman"/>
          <w:sz w:val="24"/>
          <w:szCs w:val="24"/>
        </w:rPr>
        <w:t xml:space="preserve"> work with Roma. </w:t>
      </w:r>
      <w:proofErr w:type="gramStart"/>
      <w:r w:rsidR="001473F3" w:rsidRPr="00A75E02">
        <w:rPr>
          <w:rFonts w:ascii="Times New Roman" w:hAnsi="Times New Roman"/>
          <w:sz w:val="24"/>
          <w:szCs w:val="24"/>
        </w:rPr>
        <w:t xml:space="preserve">New job opportunities and challenges’ that includes: 1. </w:t>
      </w:r>
      <w:r w:rsidR="00B36C23" w:rsidRPr="00A75E02">
        <w:rPr>
          <w:rFonts w:ascii="Times New Roman" w:hAnsi="Times New Roman"/>
          <w:sz w:val="24"/>
          <w:szCs w:val="24"/>
        </w:rPr>
        <w:t>m</w:t>
      </w:r>
      <w:r w:rsidR="001473F3" w:rsidRPr="00A75E02">
        <w:rPr>
          <w:rFonts w:ascii="Times New Roman" w:hAnsi="Times New Roman"/>
          <w:sz w:val="24"/>
          <w:szCs w:val="24"/>
        </w:rPr>
        <w:t>otivation targeted at an individual or group of them, assessment of person</w:t>
      </w:r>
      <w:r w:rsidR="00B36C23" w:rsidRPr="00A75E02">
        <w:rPr>
          <w:rFonts w:ascii="Times New Roman" w:hAnsi="Times New Roman"/>
          <w:sz w:val="24"/>
          <w:szCs w:val="24"/>
        </w:rPr>
        <w:t>’</w:t>
      </w:r>
      <w:r w:rsidR="001473F3" w:rsidRPr="00A75E02">
        <w:rPr>
          <w:rFonts w:ascii="Times New Roman" w:hAnsi="Times New Roman"/>
          <w:sz w:val="24"/>
          <w:szCs w:val="24"/>
        </w:rPr>
        <w:t>s needs, development, maintenance and revival of social and labour skills, 2. formation of a target group and presentation of benefits of the project, 3. consultations provided by a social worker, lawyer, 4. socio-cultural se</w:t>
      </w:r>
      <w:r w:rsidR="00311400" w:rsidRPr="00A75E02">
        <w:rPr>
          <w:rFonts w:ascii="Times New Roman" w:hAnsi="Times New Roman"/>
          <w:sz w:val="24"/>
          <w:szCs w:val="24"/>
        </w:rPr>
        <w:t xml:space="preserve">rvices, sports </w:t>
      </w:r>
      <w:r w:rsidR="0074685F">
        <w:rPr>
          <w:rFonts w:ascii="Times New Roman" w:hAnsi="Times New Roman"/>
          <w:sz w:val="24"/>
          <w:szCs w:val="24"/>
        </w:rPr>
        <w:t>activities</w:t>
      </w:r>
      <w:r w:rsidR="00311400" w:rsidRPr="00A75E02">
        <w:rPr>
          <w:rFonts w:ascii="Times New Roman" w:hAnsi="Times New Roman"/>
          <w:sz w:val="24"/>
          <w:szCs w:val="24"/>
        </w:rPr>
        <w:t>, 5. d</w:t>
      </w:r>
      <w:r w:rsidR="001473F3" w:rsidRPr="00A75E02">
        <w:rPr>
          <w:rFonts w:ascii="Times New Roman" w:hAnsi="Times New Roman"/>
          <w:sz w:val="24"/>
          <w:szCs w:val="24"/>
        </w:rPr>
        <w:t>evelopment of general skills (for example, digital literacy, language, business skills), 6.</w:t>
      </w:r>
      <w:proofErr w:type="gramEnd"/>
      <w:r w:rsidR="001473F3" w:rsidRPr="00A75E02">
        <w:rPr>
          <w:rFonts w:ascii="Times New Roman" w:hAnsi="Times New Roman"/>
          <w:sz w:val="24"/>
          <w:szCs w:val="24"/>
        </w:rPr>
        <w:t xml:space="preserve"> </w:t>
      </w:r>
      <w:proofErr w:type="gramStart"/>
      <w:r w:rsidR="001473F3" w:rsidRPr="00A75E02">
        <w:rPr>
          <w:rFonts w:ascii="Times New Roman" w:hAnsi="Times New Roman"/>
          <w:sz w:val="24"/>
          <w:szCs w:val="24"/>
        </w:rPr>
        <w:t>training</w:t>
      </w:r>
      <w:proofErr w:type="gramEnd"/>
      <w:r w:rsidR="001473F3" w:rsidRPr="00A75E02">
        <w:rPr>
          <w:rFonts w:ascii="Times New Roman" w:hAnsi="Times New Roman"/>
          <w:sz w:val="24"/>
          <w:szCs w:val="24"/>
        </w:rPr>
        <w:t xml:space="preserve"> in the field of communication and public speaking, 7. </w:t>
      </w:r>
      <w:proofErr w:type="gramStart"/>
      <w:r w:rsidR="001473F3" w:rsidRPr="00A75E02">
        <w:rPr>
          <w:rFonts w:ascii="Times New Roman" w:hAnsi="Times New Roman"/>
          <w:sz w:val="24"/>
          <w:szCs w:val="24"/>
        </w:rPr>
        <w:t>intermediation</w:t>
      </w:r>
      <w:proofErr w:type="gramEnd"/>
      <w:r w:rsidR="001473F3" w:rsidRPr="00A75E02">
        <w:rPr>
          <w:rFonts w:ascii="Times New Roman" w:hAnsi="Times New Roman"/>
          <w:sz w:val="24"/>
          <w:szCs w:val="24"/>
        </w:rPr>
        <w:t xml:space="preserve"> and other assistance when seeking employment and upon employment. </w:t>
      </w:r>
      <w:proofErr w:type="gramStart"/>
      <w:r w:rsidR="001473F3" w:rsidRPr="00A75E02">
        <w:rPr>
          <w:rFonts w:ascii="Times New Roman" w:hAnsi="Times New Roman"/>
          <w:sz w:val="24"/>
          <w:szCs w:val="24"/>
        </w:rPr>
        <w:t>A total of 300</w:t>
      </w:r>
      <w:proofErr w:type="gramEnd"/>
      <w:r w:rsidR="001473F3" w:rsidRPr="00A75E02">
        <w:rPr>
          <w:rFonts w:ascii="Times New Roman" w:hAnsi="Times New Roman"/>
          <w:sz w:val="24"/>
          <w:szCs w:val="24"/>
        </w:rPr>
        <w:t xml:space="preserve"> Roma are now participating in the activities under the project; </w:t>
      </w:r>
      <w:r w:rsidR="00D61964" w:rsidRPr="00A75E02">
        <w:rPr>
          <w:rFonts w:ascii="Times New Roman" w:hAnsi="Times New Roman"/>
          <w:sz w:val="24"/>
          <w:szCs w:val="24"/>
        </w:rPr>
        <w:t>following the</w:t>
      </w:r>
      <w:r w:rsidR="001473F3" w:rsidRPr="00A75E02">
        <w:rPr>
          <w:rFonts w:ascii="Times New Roman" w:hAnsi="Times New Roman"/>
          <w:sz w:val="24"/>
          <w:szCs w:val="24"/>
        </w:rPr>
        <w:t xml:space="preserve"> completion of the project 40 per cent of all the pa</w:t>
      </w:r>
      <w:r w:rsidR="0074685F">
        <w:rPr>
          <w:rFonts w:ascii="Times New Roman" w:hAnsi="Times New Roman"/>
          <w:sz w:val="24"/>
          <w:szCs w:val="24"/>
        </w:rPr>
        <w:t>rticipants will seek employment or start studies</w:t>
      </w:r>
      <w:r w:rsidR="001473F3" w:rsidRPr="00A75E02">
        <w:rPr>
          <w:rFonts w:ascii="Times New Roman" w:hAnsi="Times New Roman"/>
          <w:sz w:val="24"/>
          <w:szCs w:val="24"/>
        </w:rPr>
        <w:t>. The project has a total budget of EUR 868 860. In addition, the Lithuanian Labour Exchange also contributes to the integration of Roma into the labour market; each year it provides consultation and information services to more than 300 Roma and provides regular place of work for about 100 Roma.</w:t>
      </w:r>
    </w:p>
    <w:p w14:paraId="79B723D8" w14:textId="77777777" w:rsidR="00295536" w:rsidRPr="00A75E02" w:rsidRDefault="00295536" w:rsidP="00295536">
      <w:pPr>
        <w:spacing w:before="100" w:beforeAutospacing="1" w:after="100" w:afterAutospacing="1" w:line="240" w:lineRule="auto"/>
        <w:jc w:val="both"/>
        <w:rPr>
          <w:rFonts w:ascii="Times New Roman" w:hAnsi="Times New Roman" w:cs="Times New Roman"/>
          <w:b/>
          <w:sz w:val="24"/>
          <w:szCs w:val="24"/>
        </w:rPr>
      </w:pPr>
      <w:proofErr w:type="gramStart"/>
      <w:r w:rsidRPr="00A75E02">
        <w:rPr>
          <w:rFonts w:ascii="Times New Roman" w:hAnsi="Times New Roman"/>
          <w:b/>
          <w:sz w:val="24"/>
          <w:szCs w:val="24"/>
        </w:rPr>
        <w:t>I.(</w:t>
      </w:r>
      <w:proofErr w:type="gramEnd"/>
      <w:r w:rsidRPr="00A75E02">
        <w:rPr>
          <w:rFonts w:ascii="Times New Roman" w:hAnsi="Times New Roman"/>
          <w:b/>
          <w:sz w:val="24"/>
          <w:szCs w:val="24"/>
        </w:rPr>
        <w:t xml:space="preserve">b).2. Programme for the integration of </w:t>
      </w:r>
      <w:r w:rsidR="006B171C">
        <w:rPr>
          <w:rFonts w:ascii="Times New Roman" w:hAnsi="Times New Roman"/>
          <w:b/>
          <w:sz w:val="24"/>
          <w:szCs w:val="24"/>
        </w:rPr>
        <w:t xml:space="preserve">the </w:t>
      </w:r>
      <w:r w:rsidRPr="00A75E02">
        <w:rPr>
          <w:rFonts w:ascii="Times New Roman" w:hAnsi="Times New Roman"/>
          <w:b/>
          <w:sz w:val="24"/>
          <w:szCs w:val="24"/>
        </w:rPr>
        <w:t>Roma community living in Vilnius (</w:t>
      </w:r>
      <w:proofErr w:type="spellStart"/>
      <w:r w:rsidRPr="00A75E02">
        <w:rPr>
          <w:rFonts w:ascii="Times New Roman" w:hAnsi="Times New Roman"/>
          <w:b/>
          <w:sz w:val="24"/>
          <w:szCs w:val="24"/>
        </w:rPr>
        <w:t>Kirtimai</w:t>
      </w:r>
      <w:proofErr w:type="spellEnd"/>
      <w:r w:rsidRPr="00A75E02">
        <w:rPr>
          <w:rFonts w:ascii="Times New Roman" w:hAnsi="Times New Roman"/>
          <w:b/>
          <w:sz w:val="24"/>
          <w:szCs w:val="24"/>
        </w:rPr>
        <w:t xml:space="preserve">) settlement into the society for 2016-2019 </w:t>
      </w:r>
    </w:p>
    <w:p w14:paraId="01E70CAF" w14:textId="565A1077"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68</w:t>
      </w:r>
      <w:r w:rsidR="001473F3" w:rsidRPr="00A75E02">
        <w:rPr>
          <w:rFonts w:ascii="Times New Roman" w:hAnsi="Times New Roman"/>
          <w:sz w:val="24"/>
          <w:szCs w:val="24"/>
        </w:rPr>
        <w:t>. On 19 April 2016</w:t>
      </w:r>
      <w:proofErr w:type="gramEnd"/>
      <w:r w:rsidR="001473F3" w:rsidRPr="00A75E02">
        <w:rPr>
          <w:rFonts w:ascii="Times New Roman" w:hAnsi="Times New Roman"/>
          <w:sz w:val="24"/>
          <w:szCs w:val="24"/>
        </w:rPr>
        <w:t xml:space="preserve"> Vilnius City Municipality approved the Programme for the integration of </w:t>
      </w:r>
      <w:r w:rsidR="006B171C">
        <w:rPr>
          <w:rFonts w:ascii="Times New Roman" w:hAnsi="Times New Roman"/>
          <w:sz w:val="24"/>
          <w:szCs w:val="24"/>
        </w:rPr>
        <w:t xml:space="preserve">the </w:t>
      </w:r>
      <w:r w:rsidR="001473F3" w:rsidRPr="00A75E02">
        <w:rPr>
          <w:rFonts w:ascii="Times New Roman" w:hAnsi="Times New Roman"/>
          <w:sz w:val="24"/>
          <w:szCs w:val="24"/>
        </w:rPr>
        <w:t>Roma community living in Vilnius (</w:t>
      </w:r>
      <w:proofErr w:type="spellStart"/>
      <w:r w:rsidR="001473F3" w:rsidRPr="00A75E02">
        <w:rPr>
          <w:rFonts w:ascii="Times New Roman" w:hAnsi="Times New Roman"/>
          <w:sz w:val="24"/>
          <w:szCs w:val="24"/>
        </w:rPr>
        <w:t>Kirtimai</w:t>
      </w:r>
      <w:proofErr w:type="spellEnd"/>
      <w:r w:rsidR="001473F3" w:rsidRPr="00A75E02">
        <w:rPr>
          <w:rFonts w:ascii="Times New Roman" w:hAnsi="Times New Roman"/>
          <w:sz w:val="24"/>
          <w:szCs w:val="24"/>
        </w:rPr>
        <w:t xml:space="preserve">) settlement into the society for 2016-2019. The goals of the programme </w:t>
      </w:r>
      <w:r w:rsidR="00311400" w:rsidRPr="00A75E02">
        <w:rPr>
          <w:rFonts w:ascii="Times New Roman" w:hAnsi="Times New Roman"/>
          <w:sz w:val="24"/>
          <w:szCs w:val="24"/>
        </w:rPr>
        <w:t xml:space="preserve">are to promote the integration </w:t>
      </w:r>
      <w:r w:rsidR="001473F3" w:rsidRPr="00A75E02">
        <w:rPr>
          <w:rFonts w:ascii="Times New Roman" w:hAnsi="Times New Roman"/>
          <w:sz w:val="24"/>
          <w:szCs w:val="24"/>
        </w:rPr>
        <w:t xml:space="preserve">of </w:t>
      </w:r>
      <w:r w:rsidR="006B171C">
        <w:rPr>
          <w:rFonts w:ascii="Times New Roman" w:hAnsi="Times New Roman"/>
          <w:sz w:val="24"/>
          <w:szCs w:val="24"/>
        </w:rPr>
        <w:t xml:space="preserve">the </w:t>
      </w:r>
      <w:r w:rsidR="001473F3" w:rsidRPr="00A75E02">
        <w:rPr>
          <w:rFonts w:ascii="Times New Roman" w:hAnsi="Times New Roman"/>
          <w:sz w:val="24"/>
          <w:szCs w:val="24"/>
        </w:rPr>
        <w:t xml:space="preserve">Roma people into the education system, increase access to health services, seek the reduction of social exclusion, improve living conditions of </w:t>
      </w:r>
      <w:r w:rsidR="006B171C">
        <w:rPr>
          <w:rFonts w:ascii="Times New Roman" w:hAnsi="Times New Roman"/>
          <w:sz w:val="24"/>
          <w:szCs w:val="24"/>
        </w:rPr>
        <w:t xml:space="preserve">the </w:t>
      </w:r>
      <w:r w:rsidR="001473F3" w:rsidRPr="00A75E02">
        <w:rPr>
          <w:rFonts w:ascii="Times New Roman" w:hAnsi="Times New Roman"/>
          <w:sz w:val="24"/>
          <w:szCs w:val="24"/>
        </w:rPr>
        <w:t xml:space="preserve">Roma people, enhance the openness of the unique Romani culture, </w:t>
      </w:r>
      <w:proofErr w:type="gramStart"/>
      <w:r w:rsidR="001473F3" w:rsidRPr="00A75E02">
        <w:rPr>
          <w:rFonts w:ascii="Times New Roman" w:hAnsi="Times New Roman"/>
          <w:sz w:val="24"/>
          <w:szCs w:val="24"/>
        </w:rPr>
        <w:t>prevent</w:t>
      </w:r>
      <w:proofErr w:type="gramEnd"/>
      <w:r w:rsidR="001473F3" w:rsidRPr="00A75E02">
        <w:rPr>
          <w:rFonts w:ascii="Times New Roman" w:hAnsi="Times New Roman"/>
          <w:sz w:val="24"/>
          <w:szCs w:val="24"/>
        </w:rPr>
        <w:t xml:space="preserve"> the spread of drug abuse in </w:t>
      </w:r>
      <w:proofErr w:type="spellStart"/>
      <w:r w:rsidR="001473F3" w:rsidRPr="00A75E02">
        <w:rPr>
          <w:rFonts w:ascii="Times New Roman" w:hAnsi="Times New Roman"/>
          <w:sz w:val="24"/>
          <w:szCs w:val="24"/>
        </w:rPr>
        <w:t>Kirtimai</w:t>
      </w:r>
      <w:proofErr w:type="spellEnd"/>
      <w:r w:rsidR="001473F3" w:rsidRPr="00A75E02">
        <w:rPr>
          <w:rFonts w:ascii="Times New Roman" w:hAnsi="Times New Roman"/>
          <w:sz w:val="24"/>
          <w:szCs w:val="24"/>
        </w:rPr>
        <w:t xml:space="preserve"> and in the neighbouring area. </w:t>
      </w:r>
    </w:p>
    <w:p w14:paraId="17DE48C1" w14:textId="6B03E8CA"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69</w:t>
      </w:r>
      <w:r w:rsidR="00311400" w:rsidRPr="00A75E02">
        <w:rPr>
          <w:rFonts w:ascii="Times New Roman" w:hAnsi="Times New Roman"/>
          <w:sz w:val="24"/>
          <w:szCs w:val="24"/>
        </w:rPr>
        <w:t>. The programme</w:t>
      </w:r>
      <w:r w:rsidR="001473F3" w:rsidRPr="00A75E02">
        <w:rPr>
          <w:rFonts w:ascii="Times New Roman" w:hAnsi="Times New Roman"/>
          <w:sz w:val="24"/>
          <w:szCs w:val="24"/>
        </w:rPr>
        <w:t xml:space="preserve"> has a strong focus on the elimination of housing problems of Roma; the municipality proposes social housing for Roma families and subsidies for housing rent. During </w:t>
      </w:r>
      <w:proofErr w:type="gramStart"/>
      <w:r w:rsidR="001473F3" w:rsidRPr="00A75E02">
        <w:rPr>
          <w:rFonts w:ascii="Times New Roman" w:hAnsi="Times New Roman"/>
          <w:sz w:val="24"/>
          <w:szCs w:val="24"/>
        </w:rPr>
        <w:t>2016-2017</w:t>
      </w:r>
      <w:proofErr w:type="gramEnd"/>
      <w:r w:rsidR="001473F3" w:rsidRPr="00A75E02">
        <w:rPr>
          <w:rFonts w:ascii="Times New Roman" w:hAnsi="Times New Roman"/>
          <w:sz w:val="24"/>
          <w:szCs w:val="24"/>
        </w:rPr>
        <w:t xml:space="preserve"> 11 Roma families were moved from the </w:t>
      </w:r>
      <w:proofErr w:type="spellStart"/>
      <w:r w:rsidR="001473F3" w:rsidRPr="00A75E02">
        <w:rPr>
          <w:rFonts w:ascii="Times New Roman" w:hAnsi="Times New Roman"/>
          <w:sz w:val="24"/>
          <w:szCs w:val="24"/>
        </w:rPr>
        <w:t>Kirtimai</w:t>
      </w:r>
      <w:proofErr w:type="spellEnd"/>
      <w:r w:rsidR="001473F3" w:rsidRPr="00A75E02">
        <w:rPr>
          <w:rFonts w:ascii="Times New Roman" w:hAnsi="Times New Roman"/>
          <w:sz w:val="24"/>
          <w:szCs w:val="24"/>
        </w:rPr>
        <w:t xml:space="preserve"> settlement to social housing and 11 families received compensations for rent. The number of </w:t>
      </w:r>
      <w:r w:rsidR="005C4328">
        <w:rPr>
          <w:rFonts w:ascii="Times New Roman" w:hAnsi="Times New Roman"/>
          <w:sz w:val="24"/>
          <w:szCs w:val="24"/>
        </w:rPr>
        <w:t xml:space="preserve">houses and </w:t>
      </w:r>
      <w:r w:rsidR="001473F3" w:rsidRPr="00A75E02">
        <w:rPr>
          <w:rFonts w:ascii="Times New Roman" w:hAnsi="Times New Roman"/>
          <w:sz w:val="24"/>
          <w:szCs w:val="24"/>
        </w:rPr>
        <w:t xml:space="preserve">residents in the </w:t>
      </w:r>
      <w:proofErr w:type="spellStart"/>
      <w:r w:rsidR="001473F3" w:rsidRPr="00A75E02">
        <w:rPr>
          <w:rFonts w:ascii="Times New Roman" w:hAnsi="Times New Roman"/>
          <w:sz w:val="24"/>
          <w:szCs w:val="24"/>
        </w:rPr>
        <w:t>Kirtimai</w:t>
      </w:r>
      <w:proofErr w:type="spellEnd"/>
      <w:r w:rsidR="001473F3" w:rsidRPr="00A75E02">
        <w:rPr>
          <w:rFonts w:ascii="Times New Roman" w:hAnsi="Times New Roman"/>
          <w:sz w:val="24"/>
          <w:szCs w:val="24"/>
        </w:rPr>
        <w:t xml:space="preserve"> settlement is constantly declining: in </w:t>
      </w:r>
      <w:proofErr w:type="gramStart"/>
      <w:r w:rsidR="001473F3" w:rsidRPr="00A75E02">
        <w:rPr>
          <w:rFonts w:ascii="Times New Roman" w:hAnsi="Times New Roman"/>
          <w:sz w:val="24"/>
          <w:szCs w:val="24"/>
        </w:rPr>
        <w:t>2017</w:t>
      </w:r>
      <w:proofErr w:type="gramEnd"/>
      <w:r w:rsidR="001473F3" w:rsidRPr="00A75E02">
        <w:rPr>
          <w:rFonts w:ascii="Times New Roman" w:hAnsi="Times New Roman"/>
          <w:sz w:val="24"/>
          <w:szCs w:val="24"/>
        </w:rPr>
        <w:t xml:space="preserve"> the settlement consisted of 45 houses with slightly more than 200 residents (in comparison to 100 houses with approximately 500 residents in 2001). </w:t>
      </w:r>
    </w:p>
    <w:p w14:paraId="4599C9EA" w14:textId="33425D37"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70</w:t>
      </w:r>
      <w:r w:rsidR="001473F3" w:rsidRPr="00A75E02">
        <w:rPr>
          <w:rFonts w:ascii="Times New Roman" w:hAnsi="Times New Roman"/>
          <w:sz w:val="24"/>
          <w:szCs w:val="24"/>
        </w:rPr>
        <w:t xml:space="preserve">. In order to ensure education of Roma children </w:t>
      </w:r>
      <w:r w:rsidR="0012498D">
        <w:rPr>
          <w:rFonts w:ascii="Times New Roman" w:hAnsi="Times New Roman"/>
          <w:sz w:val="24"/>
          <w:szCs w:val="24"/>
        </w:rPr>
        <w:t xml:space="preserve">and provision of social assistance, </w:t>
      </w:r>
      <w:r w:rsidR="00860392">
        <w:rPr>
          <w:rFonts w:ascii="Times New Roman" w:hAnsi="Times New Roman"/>
          <w:sz w:val="24"/>
          <w:szCs w:val="24"/>
        </w:rPr>
        <w:t>social workers</w:t>
      </w:r>
      <w:r w:rsidR="0012498D">
        <w:rPr>
          <w:rFonts w:ascii="Times New Roman" w:hAnsi="Times New Roman"/>
          <w:sz w:val="24"/>
          <w:szCs w:val="24"/>
        </w:rPr>
        <w:t xml:space="preserve"> appointed by </w:t>
      </w:r>
      <w:r w:rsidR="001473F3" w:rsidRPr="00A75E02">
        <w:rPr>
          <w:rFonts w:ascii="Times New Roman" w:hAnsi="Times New Roman"/>
          <w:sz w:val="24"/>
          <w:szCs w:val="24"/>
        </w:rPr>
        <w:t xml:space="preserve">Vilnius City Municipality </w:t>
      </w:r>
      <w:r w:rsidR="00860392">
        <w:rPr>
          <w:rFonts w:ascii="Times New Roman" w:hAnsi="Times New Roman"/>
          <w:sz w:val="24"/>
          <w:szCs w:val="24"/>
        </w:rPr>
        <w:t>accompany</w:t>
      </w:r>
      <w:r w:rsidR="001473F3" w:rsidRPr="00A75E02">
        <w:rPr>
          <w:rFonts w:ascii="Times New Roman" w:hAnsi="Times New Roman"/>
          <w:sz w:val="24"/>
          <w:szCs w:val="24"/>
        </w:rPr>
        <w:t xml:space="preserve"> 35 Roma children li</w:t>
      </w:r>
      <w:r w:rsidR="00141F0C">
        <w:rPr>
          <w:rFonts w:ascii="Times New Roman" w:hAnsi="Times New Roman"/>
          <w:sz w:val="24"/>
          <w:szCs w:val="24"/>
        </w:rPr>
        <w:t xml:space="preserve">ving in the </w:t>
      </w:r>
      <w:proofErr w:type="spellStart"/>
      <w:r w:rsidR="00141F0C">
        <w:rPr>
          <w:rFonts w:ascii="Times New Roman" w:hAnsi="Times New Roman"/>
          <w:sz w:val="24"/>
          <w:szCs w:val="24"/>
        </w:rPr>
        <w:t>Kirtimai</w:t>
      </w:r>
      <w:proofErr w:type="spellEnd"/>
      <w:r w:rsidR="00141F0C">
        <w:rPr>
          <w:rFonts w:ascii="Times New Roman" w:hAnsi="Times New Roman"/>
          <w:sz w:val="24"/>
          <w:szCs w:val="24"/>
        </w:rPr>
        <w:t xml:space="preserve"> settlement</w:t>
      </w:r>
      <w:r w:rsidR="001473F3" w:rsidRPr="00A75E02">
        <w:rPr>
          <w:rFonts w:ascii="Times New Roman" w:hAnsi="Times New Roman"/>
          <w:sz w:val="24"/>
          <w:szCs w:val="24"/>
        </w:rPr>
        <w:t xml:space="preserve"> to education institutions during each sch</w:t>
      </w:r>
      <w:r w:rsidR="00141F0C">
        <w:rPr>
          <w:rFonts w:ascii="Times New Roman" w:hAnsi="Times New Roman"/>
          <w:sz w:val="24"/>
          <w:szCs w:val="24"/>
        </w:rPr>
        <w:t>ool year and actively cooperate</w:t>
      </w:r>
      <w:r w:rsidR="001473F3" w:rsidRPr="00A75E02">
        <w:rPr>
          <w:rFonts w:ascii="Times New Roman" w:hAnsi="Times New Roman"/>
          <w:sz w:val="24"/>
          <w:szCs w:val="24"/>
        </w:rPr>
        <w:t xml:space="preserve"> with social workers of such institutions. Funds allocated for the implementation of this measure amounted to E</w:t>
      </w:r>
      <w:r w:rsidR="00FB0902" w:rsidRPr="00A75E02">
        <w:rPr>
          <w:rFonts w:ascii="Times New Roman" w:hAnsi="Times New Roman"/>
          <w:sz w:val="24"/>
          <w:szCs w:val="24"/>
        </w:rPr>
        <w:t>UR 19 000 in 2016 and to EUR 37 </w:t>
      </w:r>
      <w:r w:rsidR="001473F3" w:rsidRPr="00A75E02">
        <w:rPr>
          <w:rFonts w:ascii="Times New Roman" w:hAnsi="Times New Roman"/>
          <w:sz w:val="24"/>
          <w:szCs w:val="24"/>
        </w:rPr>
        <w:t>000 in 2017.</w:t>
      </w:r>
    </w:p>
    <w:p w14:paraId="37E3F086" w14:textId="27B1F1EF"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lastRenderedPageBreak/>
        <w:t>71</w:t>
      </w:r>
      <w:r w:rsidR="001473F3" w:rsidRPr="00A75E02">
        <w:rPr>
          <w:rFonts w:ascii="Times New Roman" w:hAnsi="Times New Roman"/>
          <w:sz w:val="24"/>
          <w:szCs w:val="24"/>
        </w:rPr>
        <w:t xml:space="preserve">. In addition, we are working actively with families at social risk: social care services are provided to 18 families at social risk raising 50 </w:t>
      </w:r>
      <w:proofErr w:type="gramStart"/>
      <w:r w:rsidR="001473F3" w:rsidRPr="00A75E02">
        <w:rPr>
          <w:rFonts w:ascii="Times New Roman" w:hAnsi="Times New Roman"/>
          <w:sz w:val="24"/>
          <w:szCs w:val="24"/>
        </w:rPr>
        <w:t>children</w:t>
      </w:r>
      <w:r w:rsidR="00C40981">
        <w:rPr>
          <w:rFonts w:ascii="Times New Roman" w:hAnsi="Times New Roman"/>
          <w:sz w:val="24"/>
          <w:szCs w:val="24"/>
        </w:rPr>
        <w:t>,</w:t>
      </w:r>
      <w:proofErr w:type="gramEnd"/>
      <w:r w:rsidR="00C40981">
        <w:rPr>
          <w:rFonts w:ascii="Times New Roman" w:hAnsi="Times New Roman"/>
          <w:sz w:val="24"/>
          <w:szCs w:val="24"/>
        </w:rPr>
        <w:t xml:space="preserve"> moreover, particular attention is paid to</w:t>
      </w:r>
      <w:r w:rsidR="001473F3" w:rsidRPr="00A75E02">
        <w:rPr>
          <w:rFonts w:ascii="Times New Roman" w:hAnsi="Times New Roman"/>
          <w:sz w:val="24"/>
          <w:szCs w:val="24"/>
        </w:rPr>
        <w:t xml:space="preserve"> social skills </w:t>
      </w:r>
      <w:r w:rsidR="00C40981">
        <w:rPr>
          <w:rFonts w:ascii="Times New Roman" w:hAnsi="Times New Roman"/>
          <w:sz w:val="24"/>
          <w:szCs w:val="24"/>
        </w:rPr>
        <w:t>development</w:t>
      </w:r>
      <w:r w:rsidR="001473F3" w:rsidRPr="00A75E02">
        <w:rPr>
          <w:rFonts w:ascii="Times New Roman" w:hAnsi="Times New Roman"/>
          <w:sz w:val="24"/>
          <w:szCs w:val="24"/>
        </w:rPr>
        <w:t xml:space="preserve">. </w:t>
      </w:r>
    </w:p>
    <w:p w14:paraId="3E8F0857" w14:textId="1FE82D51"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72</w:t>
      </w:r>
      <w:r w:rsidR="001473F3" w:rsidRPr="00A75E02">
        <w:rPr>
          <w:rFonts w:ascii="Times New Roman" w:hAnsi="Times New Roman"/>
          <w:sz w:val="24"/>
          <w:szCs w:val="24"/>
        </w:rPr>
        <w:t xml:space="preserve">. Children who </w:t>
      </w:r>
      <w:proofErr w:type="gramStart"/>
      <w:r w:rsidR="001473F3" w:rsidRPr="00A75E02">
        <w:rPr>
          <w:rFonts w:ascii="Times New Roman" w:hAnsi="Times New Roman"/>
          <w:sz w:val="24"/>
          <w:szCs w:val="24"/>
        </w:rPr>
        <w:t>are either</w:t>
      </w:r>
      <w:proofErr w:type="gramEnd"/>
      <w:r w:rsidR="001473F3" w:rsidRPr="00A75E02">
        <w:rPr>
          <w:rFonts w:ascii="Times New Roman" w:hAnsi="Times New Roman"/>
          <w:sz w:val="24"/>
          <w:szCs w:val="24"/>
        </w:rPr>
        <w:t xml:space="preserve"> absent from or rarely attend day centres will be </w:t>
      </w:r>
      <w:r w:rsidR="00AC0D35">
        <w:rPr>
          <w:rFonts w:ascii="Times New Roman" w:hAnsi="Times New Roman"/>
          <w:sz w:val="24"/>
          <w:szCs w:val="24"/>
        </w:rPr>
        <w:t>included in the</w:t>
      </w:r>
      <w:r w:rsidR="001473F3" w:rsidRPr="00A75E02">
        <w:rPr>
          <w:rFonts w:ascii="Times New Roman" w:hAnsi="Times New Roman"/>
          <w:sz w:val="24"/>
          <w:szCs w:val="24"/>
        </w:rPr>
        <w:t xml:space="preserve"> ‘street pedagogy’ </w:t>
      </w:r>
      <w:r w:rsidR="00AC0D35">
        <w:rPr>
          <w:rFonts w:ascii="Times New Roman" w:hAnsi="Times New Roman"/>
          <w:sz w:val="24"/>
          <w:szCs w:val="24"/>
        </w:rPr>
        <w:t>programme</w:t>
      </w:r>
      <w:r w:rsidR="001473F3" w:rsidRPr="00A75E02">
        <w:rPr>
          <w:rFonts w:ascii="Times New Roman" w:hAnsi="Times New Roman"/>
          <w:sz w:val="24"/>
          <w:szCs w:val="24"/>
        </w:rPr>
        <w:t>.</w:t>
      </w:r>
      <w:r w:rsidR="001601D9">
        <w:rPr>
          <w:rFonts w:ascii="Times New Roman" w:hAnsi="Times New Roman"/>
          <w:sz w:val="24"/>
          <w:szCs w:val="24"/>
        </w:rPr>
        <w:t xml:space="preserve"> </w:t>
      </w:r>
      <w:r w:rsidR="001473F3" w:rsidRPr="00A75E02">
        <w:rPr>
          <w:rFonts w:ascii="Times New Roman" w:hAnsi="Times New Roman"/>
          <w:sz w:val="24"/>
          <w:szCs w:val="24"/>
        </w:rPr>
        <w:t>Social workers-psychologists will talk to children and young peo</w:t>
      </w:r>
      <w:r w:rsidR="001A0421">
        <w:rPr>
          <w:rFonts w:ascii="Times New Roman" w:hAnsi="Times New Roman"/>
          <w:sz w:val="24"/>
          <w:szCs w:val="24"/>
        </w:rPr>
        <w:t>ple in places where they gather</w:t>
      </w:r>
      <w:r w:rsidR="001473F3" w:rsidRPr="00A75E02">
        <w:rPr>
          <w:rFonts w:ascii="Times New Roman" w:hAnsi="Times New Roman"/>
          <w:sz w:val="24"/>
          <w:szCs w:val="24"/>
        </w:rPr>
        <w:t xml:space="preserve"> and will provide personal and social assistance </w:t>
      </w:r>
      <w:r w:rsidR="001A0421">
        <w:rPr>
          <w:rFonts w:ascii="Times New Roman" w:hAnsi="Times New Roman"/>
          <w:sz w:val="24"/>
          <w:szCs w:val="24"/>
        </w:rPr>
        <w:t>as well as</w:t>
      </w:r>
      <w:r w:rsidR="001473F3" w:rsidRPr="00A75E02">
        <w:rPr>
          <w:rFonts w:ascii="Times New Roman" w:hAnsi="Times New Roman"/>
          <w:sz w:val="24"/>
          <w:szCs w:val="24"/>
        </w:rPr>
        <w:t xml:space="preserve"> </w:t>
      </w:r>
      <w:r w:rsidR="001A0421">
        <w:rPr>
          <w:rFonts w:ascii="Times New Roman" w:hAnsi="Times New Roman"/>
          <w:sz w:val="24"/>
          <w:szCs w:val="24"/>
        </w:rPr>
        <w:t>educate them</w:t>
      </w:r>
      <w:r w:rsidR="001473F3" w:rsidRPr="00A75E02">
        <w:rPr>
          <w:rFonts w:ascii="Times New Roman" w:hAnsi="Times New Roman"/>
          <w:sz w:val="24"/>
          <w:szCs w:val="24"/>
        </w:rPr>
        <w:t>.</w:t>
      </w:r>
    </w:p>
    <w:p w14:paraId="103FCC46" w14:textId="652DE87F" w:rsidR="001473F3" w:rsidRPr="00A75E02" w:rsidRDefault="009457CD" w:rsidP="00C3653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73</w:t>
      </w:r>
      <w:r w:rsidR="001473F3" w:rsidRPr="00A75E02">
        <w:rPr>
          <w:rFonts w:ascii="Times New Roman" w:hAnsi="Times New Roman"/>
          <w:sz w:val="24"/>
          <w:szCs w:val="24"/>
        </w:rPr>
        <w:t xml:space="preserve">. Performances and music forums </w:t>
      </w:r>
      <w:r w:rsidR="00986FF7">
        <w:rPr>
          <w:rFonts w:ascii="Times New Roman" w:hAnsi="Times New Roman"/>
          <w:sz w:val="24"/>
          <w:szCs w:val="24"/>
        </w:rPr>
        <w:t>are being</w:t>
      </w:r>
      <w:r w:rsidR="001473F3" w:rsidRPr="00A75E02">
        <w:rPr>
          <w:rFonts w:ascii="Times New Roman" w:hAnsi="Times New Roman"/>
          <w:sz w:val="24"/>
          <w:szCs w:val="24"/>
        </w:rPr>
        <w:t xml:space="preserve"> held </w:t>
      </w:r>
      <w:proofErr w:type="gramStart"/>
      <w:r w:rsidR="001473F3" w:rsidRPr="00A75E02">
        <w:rPr>
          <w:rFonts w:ascii="Times New Roman" w:hAnsi="Times New Roman"/>
          <w:sz w:val="24"/>
          <w:szCs w:val="24"/>
        </w:rPr>
        <w:t>so as to</w:t>
      </w:r>
      <w:proofErr w:type="gramEnd"/>
      <w:r w:rsidR="001473F3" w:rsidRPr="00A75E02">
        <w:rPr>
          <w:rFonts w:ascii="Times New Roman" w:hAnsi="Times New Roman"/>
          <w:sz w:val="24"/>
          <w:szCs w:val="24"/>
        </w:rPr>
        <w:t xml:space="preserve"> reflect and demonstrate the </w:t>
      </w:r>
      <w:r w:rsidR="001430A6">
        <w:rPr>
          <w:rFonts w:ascii="Times New Roman" w:hAnsi="Times New Roman"/>
          <w:sz w:val="24"/>
          <w:szCs w:val="24"/>
        </w:rPr>
        <w:t>uniqueness</w:t>
      </w:r>
      <w:r w:rsidR="001473F3" w:rsidRPr="00A75E02">
        <w:rPr>
          <w:rFonts w:ascii="Times New Roman" w:hAnsi="Times New Roman"/>
          <w:sz w:val="24"/>
          <w:szCs w:val="24"/>
        </w:rPr>
        <w:t xml:space="preserve"> of Roma culture. </w:t>
      </w:r>
      <w:r w:rsidR="00986FF7">
        <w:rPr>
          <w:rFonts w:ascii="Times New Roman" w:hAnsi="Times New Roman"/>
          <w:sz w:val="24"/>
          <w:szCs w:val="24"/>
        </w:rPr>
        <w:t xml:space="preserve">Such initiatives </w:t>
      </w:r>
      <w:proofErr w:type="gramStart"/>
      <w:r w:rsidR="00986FF7">
        <w:rPr>
          <w:rFonts w:ascii="Times New Roman" w:hAnsi="Times New Roman"/>
          <w:sz w:val="24"/>
          <w:szCs w:val="24"/>
        </w:rPr>
        <w:t>are</w:t>
      </w:r>
      <w:r w:rsidR="001473F3" w:rsidRPr="00A75E02">
        <w:rPr>
          <w:rFonts w:ascii="Times New Roman" w:hAnsi="Times New Roman"/>
          <w:sz w:val="24"/>
          <w:szCs w:val="24"/>
        </w:rPr>
        <w:t xml:space="preserve"> expected</w:t>
      </w:r>
      <w:proofErr w:type="gramEnd"/>
      <w:r w:rsidR="001473F3" w:rsidRPr="00A75E02">
        <w:rPr>
          <w:rFonts w:ascii="Times New Roman" w:hAnsi="Times New Roman"/>
          <w:sz w:val="24"/>
          <w:szCs w:val="24"/>
        </w:rPr>
        <w:t xml:space="preserve"> to encourage the cooperation between different cultures and cultural exchanges as well as to </w:t>
      </w:r>
      <w:r w:rsidR="001430A6">
        <w:rPr>
          <w:rFonts w:ascii="Times New Roman" w:hAnsi="Times New Roman"/>
          <w:sz w:val="24"/>
          <w:szCs w:val="24"/>
        </w:rPr>
        <w:t>address</w:t>
      </w:r>
      <w:r w:rsidR="001473F3" w:rsidRPr="00A75E02">
        <w:rPr>
          <w:rFonts w:ascii="Times New Roman" w:hAnsi="Times New Roman"/>
          <w:sz w:val="24"/>
          <w:szCs w:val="24"/>
        </w:rPr>
        <w:t xml:space="preserve"> negative societal attitudes.</w:t>
      </w:r>
    </w:p>
    <w:p w14:paraId="7A8C44A9" w14:textId="77777777" w:rsidR="00C36533" w:rsidRPr="00A75E02" w:rsidRDefault="00C36533" w:rsidP="00C36533">
      <w:pPr>
        <w:spacing w:before="100" w:beforeAutospacing="1" w:after="100" w:afterAutospacing="1" w:line="240" w:lineRule="auto"/>
        <w:jc w:val="both"/>
        <w:rPr>
          <w:rFonts w:ascii="Times New Roman" w:hAnsi="Times New Roman" w:cs="Times New Roman"/>
          <w:b/>
          <w:sz w:val="24"/>
          <w:szCs w:val="24"/>
        </w:rPr>
      </w:pPr>
      <w:proofErr w:type="gramStart"/>
      <w:r w:rsidRPr="00A75E02">
        <w:rPr>
          <w:rFonts w:ascii="Times New Roman" w:hAnsi="Times New Roman"/>
          <w:b/>
          <w:sz w:val="24"/>
          <w:szCs w:val="24"/>
        </w:rPr>
        <w:t>I.(</w:t>
      </w:r>
      <w:proofErr w:type="gramEnd"/>
      <w:r w:rsidRPr="00A75E02">
        <w:rPr>
          <w:rFonts w:ascii="Times New Roman" w:hAnsi="Times New Roman"/>
          <w:b/>
          <w:sz w:val="24"/>
          <w:szCs w:val="24"/>
        </w:rPr>
        <w:t>b).3.</w:t>
      </w:r>
      <w:r w:rsidR="001601D9">
        <w:rPr>
          <w:rFonts w:ascii="Times New Roman" w:hAnsi="Times New Roman"/>
          <w:b/>
          <w:sz w:val="24"/>
          <w:szCs w:val="24"/>
        </w:rPr>
        <w:t xml:space="preserve"> </w:t>
      </w:r>
      <w:r w:rsidRPr="00A75E02">
        <w:rPr>
          <w:rFonts w:ascii="Times New Roman" w:hAnsi="Times New Roman"/>
          <w:b/>
          <w:sz w:val="24"/>
          <w:szCs w:val="24"/>
        </w:rPr>
        <w:t>Measure ‘Social integration of Roma’ financed from the European Union structural funds</w:t>
      </w:r>
      <w:r w:rsidR="003B6684" w:rsidRPr="003B6684">
        <w:rPr>
          <w:rFonts w:ascii="Times New Roman" w:hAnsi="Times New Roman"/>
          <w:b/>
          <w:sz w:val="24"/>
          <w:szCs w:val="24"/>
        </w:rPr>
        <w:t xml:space="preserve"> </w:t>
      </w:r>
      <w:r w:rsidR="003B6684" w:rsidRPr="00A75E02">
        <w:rPr>
          <w:rFonts w:ascii="Times New Roman" w:hAnsi="Times New Roman"/>
          <w:b/>
          <w:sz w:val="24"/>
          <w:szCs w:val="24"/>
        </w:rPr>
        <w:t xml:space="preserve">during </w:t>
      </w:r>
      <w:r w:rsidR="00C47B8E">
        <w:rPr>
          <w:rFonts w:ascii="Times New Roman" w:hAnsi="Times New Roman"/>
          <w:b/>
          <w:sz w:val="24"/>
          <w:szCs w:val="24"/>
        </w:rPr>
        <w:t xml:space="preserve">the period of </w:t>
      </w:r>
      <w:r w:rsidR="003B6684" w:rsidRPr="00A75E02">
        <w:rPr>
          <w:rFonts w:ascii="Times New Roman" w:hAnsi="Times New Roman"/>
          <w:b/>
          <w:sz w:val="24"/>
          <w:szCs w:val="24"/>
        </w:rPr>
        <w:t>2016-2020</w:t>
      </w:r>
    </w:p>
    <w:p w14:paraId="7233002D" w14:textId="3A2BDC4B" w:rsidR="00C36533" w:rsidRPr="00A75E02" w:rsidRDefault="009457CD" w:rsidP="001473F3">
      <w:pPr>
        <w:spacing w:after="0" w:line="240" w:lineRule="auto"/>
        <w:jc w:val="both"/>
        <w:rPr>
          <w:rFonts w:ascii="Times New Roman" w:hAnsi="Times New Roman" w:cs="Times New Roman"/>
          <w:sz w:val="24"/>
          <w:szCs w:val="24"/>
        </w:rPr>
      </w:pPr>
      <w:r>
        <w:rPr>
          <w:rFonts w:ascii="Times New Roman" w:hAnsi="Times New Roman"/>
          <w:sz w:val="24"/>
          <w:szCs w:val="24"/>
        </w:rPr>
        <w:t>74</w:t>
      </w:r>
      <w:r w:rsidR="001473F3" w:rsidRPr="00A75E02">
        <w:rPr>
          <w:rFonts w:ascii="Times New Roman" w:hAnsi="Times New Roman"/>
          <w:sz w:val="24"/>
          <w:szCs w:val="24"/>
        </w:rPr>
        <w:t xml:space="preserve">. The implementation of this measure includes the provision of services </w:t>
      </w:r>
      <w:r w:rsidR="00C47B8E" w:rsidRPr="00A75E02">
        <w:rPr>
          <w:rFonts w:ascii="Times New Roman" w:hAnsi="Times New Roman"/>
          <w:sz w:val="24"/>
          <w:szCs w:val="24"/>
        </w:rPr>
        <w:t xml:space="preserve">to Roma </w:t>
      </w:r>
      <w:r w:rsidR="00C47B8E">
        <w:rPr>
          <w:rFonts w:ascii="Times New Roman" w:hAnsi="Times New Roman"/>
          <w:sz w:val="24"/>
          <w:szCs w:val="24"/>
        </w:rPr>
        <w:t xml:space="preserve">that </w:t>
      </w:r>
      <w:proofErr w:type="gramStart"/>
      <w:r w:rsidR="00C47B8E">
        <w:rPr>
          <w:rFonts w:ascii="Times New Roman" w:hAnsi="Times New Roman"/>
          <w:sz w:val="24"/>
          <w:szCs w:val="24"/>
        </w:rPr>
        <w:t xml:space="preserve">are </w:t>
      </w:r>
      <w:r w:rsidR="001473F3" w:rsidRPr="00A75E02">
        <w:rPr>
          <w:rFonts w:ascii="Times New Roman" w:hAnsi="Times New Roman"/>
          <w:sz w:val="24"/>
          <w:szCs w:val="24"/>
        </w:rPr>
        <w:t>related</w:t>
      </w:r>
      <w:proofErr w:type="gramEnd"/>
      <w:r w:rsidR="001473F3" w:rsidRPr="00A75E02">
        <w:rPr>
          <w:rFonts w:ascii="Times New Roman" w:hAnsi="Times New Roman"/>
          <w:sz w:val="24"/>
          <w:szCs w:val="24"/>
        </w:rPr>
        <w:t xml:space="preserve"> to the integration into the labour market </w:t>
      </w:r>
      <w:r w:rsidR="00C47B8E">
        <w:rPr>
          <w:rFonts w:ascii="Times New Roman" w:hAnsi="Times New Roman"/>
          <w:sz w:val="24"/>
          <w:szCs w:val="24"/>
        </w:rPr>
        <w:t>seeking</w:t>
      </w:r>
      <w:r w:rsidR="001473F3" w:rsidRPr="00A75E02">
        <w:rPr>
          <w:rFonts w:ascii="Times New Roman" w:hAnsi="Times New Roman"/>
          <w:sz w:val="24"/>
          <w:szCs w:val="24"/>
        </w:rPr>
        <w:t xml:space="preserve"> to avoid social exclusion of Roma. The budget of this measure amounts to EUR 868</w:t>
      </w:r>
      <w:r w:rsidR="001430A6">
        <w:rPr>
          <w:rFonts w:ascii="Times New Roman" w:hAnsi="Times New Roman"/>
          <w:sz w:val="24"/>
          <w:szCs w:val="24"/>
        </w:rPr>
        <w:t> </w:t>
      </w:r>
      <w:r w:rsidR="001473F3" w:rsidRPr="00A75E02">
        <w:rPr>
          <w:rFonts w:ascii="Times New Roman" w:hAnsi="Times New Roman"/>
          <w:sz w:val="24"/>
          <w:szCs w:val="24"/>
        </w:rPr>
        <w:t>000</w:t>
      </w:r>
      <w:r w:rsidR="001430A6">
        <w:rPr>
          <w:rFonts w:ascii="Times New Roman" w:hAnsi="Times New Roman"/>
          <w:sz w:val="24"/>
          <w:szCs w:val="24"/>
        </w:rPr>
        <w:t xml:space="preserve"> and is</w:t>
      </w:r>
      <w:r w:rsidR="001473F3" w:rsidRPr="00A75E02">
        <w:rPr>
          <w:rFonts w:ascii="Times New Roman" w:hAnsi="Times New Roman"/>
          <w:sz w:val="24"/>
          <w:szCs w:val="24"/>
        </w:rPr>
        <w:t xml:space="preserve"> allocated from the European Union structural funds.</w:t>
      </w:r>
    </w:p>
    <w:p w14:paraId="299AB70F" w14:textId="77777777" w:rsidR="00C36533" w:rsidRPr="00A75E02" w:rsidRDefault="00C36533" w:rsidP="001473F3">
      <w:pPr>
        <w:spacing w:after="0" w:line="240" w:lineRule="auto"/>
        <w:jc w:val="both"/>
        <w:rPr>
          <w:rFonts w:ascii="Times New Roman" w:hAnsi="Times New Roman" w:cs="Times New Roman"/>
          <w:sz w:val="24"/>
          <w:szCs w:val="24"/>
        </w:rPr>
      </w:pPr>
      <w:r w:rsidRPr="00A75E02">
        <w:rPr>
          <w:rFonts w:ascii="Times New Roman" w:hAnsi="Times New Roman"/>
          <w:sz w:val="24"/>
          <w:szCs w:val="24"/>
        </w:rPr>
        <w:t xml:space="preserve">Project activities </w:t>
      </w:r>
      <w:proofErr w:type="gramStart"/>
      <w:r w:rsidRPr="00A75E02">
        <w:rPr>
          <w:rFonts w:ascii="Times New Roman" w:hAnsi="Times New Roman"/>
          <w:sz w:val="24"/>
          <w:szCs w:val="24"/>
        </w:rPr>
        <w:t>are planned</w:t>
      </w:r>
      <w:proofErr w:type="gramEnd"/>
      <w:r w:rsidRPr="00A75E02">
        <w:rPr>
          <w:rFonts w:ascii="Times New Roman" w:hAnsi="Times New Roman"/>
          <w:sz w:val="24"/>
          <w:szCs w:val="24"/>
        </w:rPr>
        <w:t xml:space="preserve"> to involve </w:t>
      </w:r>
      <w:r w:rsidR="00F87C05">
        <w:rPr>
          <w:rFonts w:ascii="Times New Roman" w:hAnsi="Times New Roman"/>
          <w:sz w:val="24"/>
          <w:szCs w:val="24"/>
        </w:rPr>
        <w:t>approx.</w:t>
      </w:r>
      <w:r w:rsidRPr="00A75E02">
        <w:rPr>
          <w:rFonts w:ascii="Times New Roman" w:hAnsi="Times New Roman"/>
          <w:sz w:val="24"/>
          <w:szCs w:val="24"/>
        </w:rPr>
        <w:t xml:space="preserve"> 300 persons and </w:t>
      </w:r>
      <w:r w:rsidR="007B64A8" w:rsidRPr="00A75E02">
        <w:rPr>
          <w:rFonts w:ascii="Times New Roman" w:hAnsi="Times New Roman"/>
          <w:sz w:val="24"/>
          <w:szCs w:val="24"/>
        </w:rPr>
        <w:t>upon the compl</w:t>
      </w:r>
      <w:r w:rsidR="007B64A8">
        <w:rPr>
          <w:rFonts w:ascii="Times New Roman" w:hAnsi="Times New Roman"/>
          <w:sz w:val="24"/>
          <w:szCs w:val="24"/>
        </w:rPr>
        <w:t xml:space="preserve">etion of the project </w:t>
      </w:r>
      <w:r w:rsidRPr="00A75E02">
        <w:rPr>
          <w:rFonts w:ascii="Times New Roman" w:hAnsi="Times New Roman"/>
          <w:sz w:val="24"/>
          <w:szCs w:val="24"/>
        </w:rPr>
        <w:t xml:space="preserve">40 per cent of them are expected to seek employment, start </w:t>
      </w:r>
      <w:r w:rsidR="00F87C05">
        <w:rPr>
          <w:rFonts w:ascii="Times New Roman" w:hAnsi="Times New Roman"/>
          <w:sz w:val="24"/>
          <w:szCs w:val="24"/>
        </w:rPr>
        <w:t>to study or work, including as</w:t>
      </w:r>
      <w:r w:rsidRPr="00A75E02">
        <w:rPr>
          <w:rFonts w:ascii="Times New Roman" w:hAnsi="Times New Roman"/>
          <w:sz w:val="24"/>
          <w:szCs w:val="24"/>
        </w:rPr>
        <w:t xml:space="preserve"> self-employed person</w:t>
      </w:r>
      <w:r w:rsidR="00F87C05">
        <w:rPr>
          <w:rFonts w:ascii="Times New Roman" w:hAnsi="Times New Roman"/>
          <w:sz w:val="24"/>
          <w:szCs w:val="24"/>
        </w:rPr>
        <w:t>s</w:t>
      </w:r>
      <w:r w:rsidR="007B64A8">
        <w:rPr>
          <w:rFonts w:ascii="Times New Roman" w:hAnsi="Times New Roman"/>
          <w:sz w:val="24"/>
          <w:szCs w:val="24"/>
        </w:rPr>
        <w:t>.</w:t>
      </w:r>
      <w:r w:rsidRPr="00A75E02">
        <w:rPr>
          <w:rFonts w:ascii="Times New Roman" w:hAnsi="Times New Roman"/>
          <w:sz w:val="24"/>
          <w:szCs w:val="24"/>
        </w:rPr>
        <w:t xml:space="preserve"> </w:t>
      </w:r>
    </w:p>
    <w:p w14:paraId="2F6D85E7" w14:textId="77777777" w:rsidR="00295536" w:rsidRPr="00A75E02" w:rsidRDefault="00544357" w:rsidP="00295536">
      <w:pPr>
        <w:spacing w:before="100" w:beforeAutospacing="1" w:after="100" w:afterAutospacing="1" w:line="240" w:lineRule="auto"/>
        <w:jc w:val="both"/>
        <w:rPr>
          <w:rFonts w:ascii="Times New Roman" w:hAnsi="Times New Roman" w:cs="Times New Roman"/>
          <w:b/>
          <w:sz w:val="24"/>
          <w:szCs w:val="24"/>
        </w:rPr>
      </w:pPr>
      <w:proofErr w:type="gramStart"/>
      <w:r>
        <w:rPr>
          <w:rFonts w:ascii="Times New Roman" w:hAnsi="Times New Roman"/>
          <w:b/>
          <w:sz w:val="24"/>
          <w:szCs w:val="24"/>
        </w:rPr>
        <w:t>I.(</w:t>
      </w:r>
      <w:proofErr w:type="gramEnd"/>
      <w:r>
        <w:rPr>
          <w:rFonts w:ascii="Times New Roman" w:hAnsi="Times New Roman"/>
          <w:b/>
          <w:sz w:val="24"/>
          <w:szCs w:val="24"/>
        </w:rPr>
        <w:t>b).4</w:t>
      </w:r>
      <w:r w:rsidR="00295536" w:rsidRPr="00A75E02">
        <w:rPr>
          <w:rFonts w:ascii="Times New Roman" w:hAnsi="Times New Roman"/>
          <w:b/>
          <w:sz w:val="24"/>
          <w:szCs w:val="24"/>
        </w:rPr>
        <w:t xml:space="preserve"> Funding of Roma integration programmes</w:t>
      </w:r>
    </w:p>
    <w:p w14:paraId="17B6C563" w14:textId="087E3AB8"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75</w:t>
      </w:r>
      <w:r w:rsidR="002367C0" w:rsidRPr="00A75E02">
        <w:rPr>
          <w:rFonts w:ascii="Times New Roman" w:hAnsi="Times New Roman"/>
          <w:sz w:val="24"/>
          <w:szCs w:val="24"/>
        </w:rPr>
        <w:t xml:space="preserve">. The Action plan for 2012-2014 </w:t>
      </w:r>
      <w:proofErr w:type="gramStart"/>
      <w:r w:rsidR="002367C0" w:rsidRPr="00A75E02">
        <w:rPr>
          <w:rFonts w:ascii="Times New Roman" w:hAnsi="Times New Roman"/>
          <w:sz w:val="24"/>
          <w:szCs w:val="24"/>
        </w:rPr>
        <w:t>was financed</w:t>
      </w:r>
      <w:proofErr w:type="gramEnd"/>
      <w:r w:rsidR="002367C0" w:rsidRPr="00A75E02">
        <w:rPr>
          <w:rFonts w:ascii="Times New Roman" w:hAnsi="Times New Roman"/>
          <w:sz w:val="24"/>
          <w:szCs w:val="24"/>
        </w:rPr>
        <w:t xml:space="preserve"> by funds from the State budget, the European Union structural assistance and the European Union PROGRESS programme. Allocations for this plan amounted to EUR 189 085 in 2012, EUR 378 958 in 2013 and EUR 330 485 in 2014.</w:t>
      </w:r>
    </w:p>
    <w:p w14:paraId="59BF31F8" w14:textId="34F7BC18"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76</w:t>
      </w:r>
      <w:r w:rsidR="002367C0" w:rsidRPr="00A75E02">
        <w:rPr>
          <w:rFonts w:ascii="Times New Roman" w:hAnsi="Times New Roman"/>
          <w:sz w:val="24"/>
          <w:szCs w:val="24"/>
        </w:rPr>
        <w:t xml:space="preserve">. The Action plan for Roma integration into Lithuanian society for 2015-2020 </w:t>
      </w:r>
      <w:proofErr w:type="gramStart"/>
      <w:r w:rsidR="002367C0" w:rsidRPr="00A75E02">
        <w:rPr>
          <w:rFonts w:ascii="Times New Roman" w:hAnsi="Times New Roman"/>
          <w:sz w:val="24"/>
          <w:szCs w:val="24"/>
        </w:rPr>
        <w:t>is financed</w:t>
      </w:r>
      <w:proofErr w:type="gramEnd"/>
      <w:r w:rsidR="002367C0" w:rsidRPr="00A75E02">
        <w:rPr>
          <w:rFonts w:ascii="Times New Roman" w:hAnsi="Times New Roman"/>
          <w:sz w:val="24"/>
          <w:szCs w:val="24"/>
        </w:rPr>
        <w:t xml:space="preserve"> by funds from the State budget of the Republic of L</w:t>
      </w:r>
      <w:r w:rsidR="00FB0902" w:rsidRPr="00A75E02">
        <w:rPr>
          <w:rFonts w:ascii="Times New Roman" w:hAnsi="Times New Roman"/>
          <w:sz w:val="24"/>
          <w:szCs w:val="24"/>
        </w:rPr>
        <w:t>ithuania and the European Union</w:t>
      </w:r>
      <w:r w:rsidR="002367C0" w:rsidRPr="00A75E02">
        <w:rPr>
          <w:rFonts w:ascii="Times New Roman" w:hAnsi="Times New Roman"/>
          <w:sz w:val="24"/>
          <w:szCs w:val="24"/>
        </w:rPr>
        <w:t xml:space="preserve"> structural funds. The amount of EUR 867 000 under the EU financial perspective 2014-2020 is planned to be allocated for the </w:t>
      </w:r>
      <w:r w:rsidR="004A4F80">
        <w:rPr>
          <w:rFonts w:ascii="Times New Roman" w:hAnsi="Times New Roman"/>
          <w:sz w:val="24"/>
          <w:szCs w:val="24"/>
        </w:rPr>
        <w:t xml:space="preserve">implementation of the </w:t>
      </w:r>
      <w:r w:rsidR="002367C0" w:rsidRPr="00A75E02">
        <w:rPr>
          <w:rFonts w:ascii="Times New Roman" w:hAnsi="Times New Roman"/>
          <w:sz w:val="24"/>
          <w:szCs w:val="24"/>
        </w:rPr>
        <w:t>project aimed at integrating Roma into the labour market. Each year the National Minorities Department under the Government of the Re</w:t>
      </w:r>
      <w:r w:rsidR="004A4F80">
        <w:rPr>
          <w:rFonts w:ascii="Times New Roman" w:hAnsi="Times New Roman"/>
          <w:sz w:val="24"/>
          <w:szCs w:val="24"/>
        </w:rPr>
        <w:t>public of Lithuania allocates the</w:t>
      </w:r>
      <w:r w:rsidR="002367C0" w:rsidRPr="00A75E02">
        <w:rPr>
          <w:rFonts w:ascii="Times New Roman" w:hAnsi="Times New Roman"/>
          <w:sz w:val="24"/>
          <w:szCs w:val="24"/>
        </w:rPr>
        <w:t xml:space="preserve"> amount of nearly EUR 75 000 for various Roma integration measures; other institutions use appropriations in the general budget for the implementation of measures. In addition, </w:t>
      </w:r>
      <w:r w:rsidR="000C7357">
        <w:rPr>
          <w:rFonts w:ascii="Times New Roman" w:hAnsi="Times New Roman"/>
          <w:sz w:val="24"/>
          <w:szCs w:val="24"/>
        </w:rPr>
        <w:t>funding</w:t>
      </w:r>
      <w:r w:rsidR="002367C0" w:rsidRPr="00A75E02">
        <w:rPr>
          <w:rFonts w:ascii="Times New Roman" w:hAnsi="Times New Roman"/>
          <w:sz w:val="24"/>
          <w:szCs w:val="24"/>
        </w:rPr>
        <w:t xml:space="preserve"> of action plan monitoring </w:t>
      </w:r>
      <w:r w:rsidR="00DF0A14">
        <w:rPr>
          <w:rFonts w:ascii="Times New Roman" w:hAnsi="Times New Roman"/>
          <w:sz w:val="24"/>
          <w:szCs w:val="24"/>
        </w:rPr>
        <w:t xml:space="preserve">which </w:t>
      </w:r>
      <w:proofErr w:type="gramStart"/>
      <w:r w:rsidR="00DF0A14">
        <w:rPr>
          <w:rFonts w:ascii="Times New Roman" w:hAnsi="Times New Roman"/>
          <w:sz w:val="24"/>
          <w:szCs w:val="24"/>
        </w:rPr>
        <w:t>is planned</w:t>
      </w:r>
      <w:proofErr w:type="gramEnd"/>
      <w:r w:rsidR="00DF0A14">
        <w:rPr>
          <w:rFonts w:ascii="Times New Roman" w:hAnsi="Times New Roman"/>
          <w:sz w:val="24"/>
          <w:szCs w:val="24"/>
        </w:rPr>
        <w:t xml:space="preserve"> </w:t>
      </w:r>
      <w:r w:rsidR="002367C0" w:rsidRPr="00A75E02">
        <w:rPr>
          <w:rFonts w:ascii="Times New Roman" w:hAnsi="Times New Roman"/>
          <w:sz w:val="24"/>
          <w:szCs w:val="24"/>
        </w:rPr>
        <w:t xml:space="preserve">in 2020 is </w:t>
      </w:r>
      <w:r w:rsidR="000C7357">
        <w:rPr>
          <w:rFonts w:ascii="Times New Roman" w:hAnsi="Times New Roman"/>
          <w:sz w:val="24"/>
          <w:szCs w:val="24"/>
        </w:rPr>
        <w:t>envisaged</w:t>
      </w:r>
      <w:r w:rsidR="002367C0" w:rsidRPr="00A75E02">
        <w:rPr>
          <w:rFonts w:ascii="Times New Roman" w:hAnsi="Times New Roman"/>
          <w:sz w:val="24"/>
          <w:szCs w:val="24"/>
        </w:rPr>
        <w:t>.</w:t>
      </w:r>
    </w:p>
    <w:p w14:paraId="16ECCA1E" w14:textId="2AF4B154"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77</w:t>
      </w:r>
      <w:r w:rsidR="002367C0" w:rsidRPr="00A75E02">
        <w:rPr>
          <w:rFonts w:ascii="Times New Roman" w:hAnsi="Times New Roman"/>
          <w:sz w:val="24"/>
          <w:szCs w:val="24"/>
        </w:rPr>
        <w:t>. Vilnius City Municipality plans to allocate more than EUR 722 000 for the implementation of the Programme for the integrat</w:t>
      </w:r>
      <w:r w:rsidR="001430A6">
        <w:rPr>
          <w:rFonts w:ascii="Times New Roman" w:hAnsi="Times New Roman"/>
          <w:sz w:val="24"/>
          <w:szCs w:val="24"/>
        </w:rPr>
        <w:t xml:space="preserve">ion of Roma community living in </w:t>
      </w:r>
      <w:proofErr w:type="spellStart"/>
      <w:r w:rsidR="001430A6">
        <w:rPr>
          <w:rFonts w:ascii="Times New Roman" w:hAnsi="Times New Roman"/>
          <w:sz w:val="24"/>
          <w:szCs w:val="24"/>
        </w:rPr>
        <w:t>Kirtimai</w:t>
      </w:r>
      <w:proofErr w:type="spellEnd"/>
      <w:r w:rsidR="002367C0" w:rsidRPr="00A75E02">
        <w:rPr>
          <w:rFonts w:ascii="Times New Roman" w:hAnsi="Times New Roman"/>
          <w:sz w:val="24"/>
          <w:szCs w:val="24"/>
        </w:rPr>
        <w:t xml:space="preserve"> </w:t>
      </w:r>
      <w:r w:rsidR="001430A6">
        <w:rPr>
          <w:rFonts w:ascii="Times New Roman" w:hAnsi="Times New Roman"/>
          <w:sz w:val="24"/>
          <w:szCs w:val="24"/>
        </w:rPr>
        <w:t>district (Vilnius city municipality)</w:t>
      </w:r>
      <w:r w:rsidR="002367C0" w:rsidRPr="00A75E02">
        <w:rPr>
          <w:rFonts w:ascii="Times New Roman" w:hAnsi="Times New Roman"/>
          <w:sz w:val="24"/>
          <w:szCs w:val="24"/>
        </w:rPr>
        <w:t xml:space="preserve"> for 2016-2019.</w:t>
      </w:r>
    </w:p>
    <w:p w14:paraId="15129E45" w14:textId="77777777" w:rsidR="00295536" w:rsidRPr="00A75E02" w:rsidRDefault="00295536" w:rsidP="00295536">
      <w:pPr>
        <w:spacing w:before="100" w:beforeAutospacing="1" w:after="100" w:afterAutospacing="1" w:line="240" w:lineRule="auto"/>
        <w:jc w:val="both"/>
        <w:rPr>
          <w:rFonts w:ascii="Times New Roman" w:hAnsi="Times New Roman" w:cs="Times New Roman"/>
          <w:b/>
          <w:sz w:val="24"/>
          <w:szCs w:val="24"/>
        </w:rPr>
      </w:pPr>
      <w:proofErr w:type="gramStart"/>
      <w:r w:rsidRPr="00A75E02">
        <w:rPr>
          <w:rFonts w:ascii="Times New Roman" w:hAnsi="Times New Roman"/>
          <w:b/>
          <w:sz w:val="24"/>
          <w:szCs w:val="24"/>
        </w:rPr>
        <w:t>I.(</w:t>
      </w:r>
      <w:proofErr w:type="gramEnd"/>
      <w:r w:rsidRPr="00A75E02">
        <w:rPr>
          <w:rFonts w:ascii="Times New Roman" w:hAnsi="Times New Roman"/>
          <w:b/>
          <w:sz w:val="24"/>
          <w:szCs w:val="24"/>
        </w:rPr>
        <w:t>c) Other international and national projects</w:t>
      </w:r>
    </w:p>
    <w:p w14:paraId="064E677B" w14:textId="4C664321"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78</w:t>
      </w:r>
      <w:r w:rsidR="002367C0" w:rsidRPr="00A75E02">
        <w:rPr>
          <w:rFonts w:ascii="Times New Roman" w:hAnsi="Times New Roman"/>
          <w:sz w:val="24"/>
          <w:szCs w:val="24"/>
        </w:rPr>
        <w:t xml:space="preserve">. </w:t>
      </w:r>
      <w:r w:rsidR="005203D7">
        <w:rPr>
          <w:rFonts w:ascii="Times New Roman" w:hAnsi="Times New Roman"/>
          <w:sz w:val="24"/>
          <w:szCs w:val="24"/>
        </w:rPr>
        <w:t>Various</w:t>
      </w:r>
      <w:r w:rsidR="002367C0" w:rsidRPr="00A75E02">
        <w:rPr>
          <w:rFonts w:ascii="Times New Roman" w:hAnsi="Times New Roman"/>
          <w:sz w:val="24"/>
          <w:szCs w:val="24"/>
        </w:rPr>
        <w:t xml:space="preserve"> international and na</w:t>
      </w:r>
      <w:r w:rsidR="005203D7">
        <w:rPr>
          <w:rFonts w:ascii="Times New Roman" w:hAnsi="Times New Roman"/>
          <w:sz w:val="24"/>
          <w:szCs w:val="24"/>
        </w:rPr>
        <w:t xml:space="preserve">tional projects </w:t>
      </w:r>
      <w:proofErr w:type="gramStart"/>
      <w:r w:rsidR="005203D7">
        <w:rPr>
          <w:rFonts w:ascii="Times New Roman" w:hAnsi="Times New Roman"/>
          <w:sz w:val="24"/>
          <w:szCs w:val="24"/>
        </w:rPr>
        <w:t>are implemented</w:t>
      </w:r>
      <w:proofErr w:type="gramEnd"/>
      <w:r w:rsidR="002367C0" w:rsidRPr="00A75E02">
        <w:rPr>
          <w:rFonts w:ascii="Times New Roman" w:hAnsi="Times New Roman"/>
          <w:sz w:val="24"/>
          <w:szCs w:val="24"/>
        </w:rPr>
        <w:t xml:space="preserve"> </w:t>
      </w:r>
      <w:r w:rsidR="005203D7">
        <w:rPr>
          <w:rFonts w:ascii="Times New Roman" w:hAnsi="Times New Roman"/>
          <w:sz w:val="24"/>
          <w:szCs w:val="24"/>
        </w:rPr>
        <w:t>with the purpose of promoting</w:t>
      </w:r>
      <w:r w:rsidR="002367C0" w:rsidRPr="00A75E02">
        <w:rPr>
          <w:rFonts w:ascii="Times New Roman" w:hAnsi="Times New Roman"/>
          <w:sz w:val="24"/>
          <w:szCs w:val="24"/>
        </w:rPr>
        <w:t xml:space="preserve"> the integration of the Roma. In 2014 </w:t>
      </w:r>
      <w:r w:rsidR="005203D7">
        <w:rPr>
          <w:rFonts w:ascii="Times New Roman" w:hAnsi="Times New Roman"/>
          <w:sz w:val="24"/>
          <w:szCs w:val="24"/>
        </w:rPr>
        <w:t xml:space="preserve">the </w:t>
      </w:r>
      <w:r w:rsidR="002367C0" w:rsidRPr="00A75E02">
        <w:rPr>
          <w:rFonts w:ascii="Times New Roman" w:hAnsi="Times New Roman"/>
          <w:sz w:val="24"/>
          <w:szCs w:val="24"/>
        </w:rPr>
        <w:t xml:space="preserve">programme ROMED was implemented in cooperation with the Council of Europe under which 15 representatives of the Roma community were trained in delivering intercultural mediation between public administration institutions and the Roma community. </w:t>
      </w:r>
    </w:p>
    <w:p w14:paraId="08E485D2" w14:textId="6D462257"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79</w:t>
      </w:r>
      <w:r w:rsidR="002367C0" w:rsidRPr="00A75E02">
        <w:rPr>
          <w:rFonts w:ascii="Times New Roman" w:hAnsi="Times New Roman"/>
          <w:sz w:val="24"/>
          <w:szCs w:val="24"/>
        </w:rPr>
        <w:t xml:space="preserve">. During 2016-2018 the National Minorities Department under the Government of the Republic of Lithuania is implementing the project ‘Local Roma Platforms – Path </w:t>
      </w:r>
      <w:proofErr w:type="gramStart"/>
      <w:r w:rsidR="002367C0" w:rsidRPr="00A75E02">
        <w:rPr>
          <w:rFonts w:ascii="Times New Roman" w:hAnsi="Times New Roman"/>
          <w:sz w:val="24"/>
          <w:szCs w:val="24"/>
        </w:rPr>
        <w:t>Towards</w:t>
      </w:r>
      <w:proofErr w:type="gramEnd"/>
      <w:r w:rsidR="002367C0" w:rsidRPr="00A75E02">
        <w:rPr>
          <w:rFonts w:ascii="Times New Roman" w:hAnsi="Times New Roman"/>
          <w:sz w:val="24"/>
          <w:szCs w:val="24"/>
        </w:rPr>
        <w:t xml:space="preserve"> Cooperation with </w:t>
      </w:r>
      <w:r w:rsidR="002367C0" w:rsidRPr="00A75E02">
        <w:rPr>
          <w:rFonts w:ascii="Times New Roman" w:hAnsi="Times New Roman"/>
          <w:sz w:val="24"/>
          <w:szCs w:val="24"/>
        </w:rPr>
        <w:lastRenderedPageBreak/>
        <w:t xml:space="preserve">Municipalities’. The main goal of the project is to develop a mechanism of cooperation between Roma communities and local municipalities </w:t>
      </w:r>
      <w:r w:rsidR="00AF4B2D">
        <w:rPr>
          <w:rFonts w:ascii="Times New Roman" w:hAnsi="Times New Roman"/>
          <w:sz w:val="24"/>
          <w:szCs w:val="24"/>
        </w:rPr>
        <w:t>ensuring</w:t>
      </w:r>
      <w:r w:rsidR="002367C0" w:rsidRPr="00A75E02">
        <w:rPr>
          <w:rFonts w:ascii="Times New Roman" w:hAnsi="Times New Roman"/>
          <w:sz w:val="24"/>
          <w:szCs w:val="24"/>
        </w:rPr>
        <w:t xml:space="preserve"> efficient </w:t>
      </w:r>
      <w:r w:rsidR="00AF4B2D">
        <w:rPr>
          <w:rFonts w:ascii="Times New Roman" w:hAnsi="Times New Roman"/>
          <w:sz w:val="24"/>
          <w:szCs w:val="24"/>
        </w:rPr>
        <w:t>participation of local authorities</w:t>
      </w:r>
      <w:r w:rsidR="00BD186B">
        <w:rPr>
          <w:rFonts w:ascii="Times New Roman" w:hAnsi="Times New Roman"/>
          <w:sz w:val="24"/>
          <w:szCs w:val="24"/>
        </w:rPr>
        <w:t xml:space="preserve"> in</w:t>
      </w:r>
      <w:r w:rsidR="002367C0" w:rsidRPr="00A75E02">
        <w:rPr>
          <w:rFonts w:ascii="Times New Roman" w:hAnsi="Times New Roman"/>
          <w:sz w:val="24"/>
          <w:szCs w:val="24"/>
        </w:rPr>
        <w:t xml:space="preserve"> Roma integration process.</w:t>
      </w:r>
    </w:p>
    <w:p w14:paraId="41EE7C3E" w14:textId="34FDD94F"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80</w:t>
      </w:r>
      <w:r w:rsidR="002367C0" w:rsidRPr="00A75E02">
        <w:rPr>
          <w:rFonts w:ascii="Times New Roman" w:hAnsi="Times New Roman"/>
          <w:sz w:val="24"/>
          <w:szCs w:val="24"/>
        </w:rPr>
        <w:t xml:space="preserve">. In the framework of the project, Roma platforms were set up in five municipalities of Lithuania. Five representatives of the Roma community act as mediators between the Roma communities and municipal authorities with the aim of ensuring sustainable dialogue between these two parties concerned. </w:t>
      </w:r>
    </w:p>
    <w:p w14:paraId="75211DC7" w14:textId="1CBDB100" w:rsidR="00295536" w:rsidRPr="00A75E02" w:rsidRDefault="009457CD" w:rsidP="0029553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81</w:t>
      </w:r>
      <w:r w:rsidR="002367C0" w:rsidRPr="00A75E02">
        <w:rPr>
          <w:rFonts w:ascii="Times New Roman" w:hAnsi="Times New Roman"/>
          <w:sz w:val="24"/>
          <w:szCs w:val="24"/>
        </w:rPr>
        <w:t>. Project activities include specialised training for specialists who work with the Roma community, such as staff of municipal a</w:t>
      </w:r>
      <w:r w:rsidR="00FB0902" w:rsidRPr="00A75E02">
        <w:rPr>
          <w:rFonts w:ascii="Times New Roman" w:hAnsi="Times New Roman"/>
          <w:sz w:val="24"/>
          <w:szCs w:val="24"/>
        </w:rPr>
        <w:t xml:space="preserve">dministration, social workers, </w:t>
      </w:r>
      <w:r w:rsidR="002367C0" w:rsidRPr="00A75E02">
        <w:rPr>
          <w:rFonts w:ascii="Times New Roman" w:hAnsi="Times New Roman"/>
          <w:sz w:val="24"/>
          <w:szCs w:val="24"/>
        </w:rPr>
        <w:t xml:space="preserve">teachers as well as Roma women; training organised for Roma women </w:t>
      </w:r>
      <w:proofErr w:type="gramStart"/>
      <w:r w:rsidR="002367C0" w:rsidRPr="00A75E02">
        <w:rPr>
          <w:rFonts w:ascii="Times New Roman" w:hAnsi="Times New Roman"/>
          <w:sz w:val="24"/>
          <w:szCs w:val="24"/>
        </w:rPr>
        <w:t>i</w:t>
      </w:r>
      <w:r w:rsidR="00FB0902" w:rsidRPr="00A75E02">
        <w:rPr>
          <w:rFonts w:ascii="Times New Roman" w:hAnsi="Times New Roman"/>
          <w:sz w:val="24"/>
          <w:szCs w:val="24"/>
        </w:rPr>
        <w:t>s aimed</w:t>
      </w:r>
      <w:proofErr w:type="gramEnd"/>
      <w:r w:rsidR="00FB0902" w:rsidRPr="00A75E02">
        <w:rPr>
          <w:rFonts w:ascii="Times New Roman" w:hAnsi="Times New Roman"/>
          <w:sz w:val="24"/>
          <w:szCs w:val="24"/>
        </w:rPr>
        <w:t xml:space="preserve"> at encouraging them to </w:t>
      </w:r>
      <w:r w:rsidR="002367C0" w:rsidRPr="00A75E02">
        <w:rPr>
          <w:rFonts w:ascii="Times New Roman" w:hAnsi="Times New Roman"/>
          <w:sz w:val="24"/>
          <w:szCs w:val="24"/>
        </w:rPr>
        <w:t xml:space="preserve">become more involved in public life. In addition, various surveys </w:t>
      </w:r>
      <w:proofErr w:type="gramStart"/>
      <w:r w:rsidR="002367C0" w:rsidRPr="00A75E02">
        <w:rPr>
          <w:rFonts w:ascii="Times New Roman" w:hAnsi="Times New Roman"/>
          <w:sz w:val="24"/>
          <w:szCs w:val="24"/>
        </w:rPr>
        <w:t>are being carried out</w:t>
      </w:r>
      <w:proofErr w:type="gramEnd"/>
      <w:r w:rsidR="002367C0" w:rsidRPr="00A75E02">
        <w:rPr>
          <w:rFonts w:ascii="Times New Roman" w:hAnsi="Times New Roman"/>
          <w:sz w:val="24"/>
          <w:szCs w:val="24"/>
        </w:rPr>
        <w:t>. Funds allocated for the implementation of the project amount to EUR 68 000 each year.</w:t>
      </w:r>
    </w:p>
    <w:p w14:paraId="12805188" w14:textId="0ADD458B" w:rsidR="00295536" w:rsidRPr="00A75E02" w:rsidRDefault="009457CD" w:rsidP="00742FA3">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82</w:t>
      </w:r>
      <w:r w:rsidR="002367C0" w:rsidRPr="00A75E02">
        <w:rPr>
          <w:rFonts w:ascii="Times New Roman" w:hAnsi="Times New Roman"/>
          <w:sz w:val="24"/>
          <w:szCs w:val="24"/>
        </w:rPr>
        <w:t xml:space="preserve">. During </w:t>
      </w:r>
      <w:r w:rsidR="00A934AA">
        <w:rPr>
          <w:rFonts w:ascii="Times New Roman" w:hAnsi="Times New Roman"/>
          <w:sz w:val="24"/>
          <w:szCs w:val="24"/>
        </w:rPr>
        <w:t xml:space="preserve">the period </w:t>
      </w:r>
      <w:r w:rsidR="002367C0" w:rsidRPr="00A75E02">
        <w:rPr>
          <w:rFonts w:ascii="Times New Roman" w:hAnsi="Times New Roman"/>
          <w:sz w:val="24"/>
          <w:szCs w:val="24"/>
        </w:rPr>
        <w:t xml:space="preserve">2014-2017 various projects aimed at the integration of Roma into the education system, empowerment of </w:t>
      </w:r>
      <w:r w:rsidR="00A934AA">
        <w:rPr>
          <w:rFonts w:ascii="Times New Roman" w:hAnsi="Times New Roman"/>
          <w:sz w:val="24"/>
          <w:szCs w:val="24"/>
        </w:rPr>
        <w:t xml:space="preserve">the </w:t>
      </w:r>
      <w:r w:rsidR="002367C0" w:rsidRPr="00A75E02">
        <w:rPr>
          <w:rFonts w:ascii="Times New Roman" w:hAnsi="Times New Roman"/>
          <w:sz w:val="24"/>
          <w:szCs w:val="24"/>
        </w:rPr>
        <w:t xml:space="preserve">Roma community and commemoration of victims of Holocaust were implemented by </w:t>
      </w:r>
      <w:r w:rsidR="00A934AA">
        <w:rPr>
          <w:rFonts w:ascii="Times New Roman" w:hAnsi="Times New Roman"/>
          <w:sz w:val="24"/>
          <w:szCs w:val="24"/>
        </w:rPr>
        <w:t xml:space="preserve">the </w:t>
      </w:r>
      <w:r w:rsidR="002367C0" w:rsidRPr="00A75E02">
        <w:rPr>
          <w:rFonts w:ascii="Times New Roman" w:hAnsi="Times New Roman"/>
          <w:sz w:val="24"/>
          <w:szCs w:val="24"/>
        </w:rPr>
        <w:t xml:space="preserve">Roma Community Centre, </w:t>
      </w:r>
      <w:r w:rsidR="00A934AA">
        <w:rPr>
          <w:rFonts w:ascii="Times New Roman" w:hAnsi="Times New Roman"/>
          <w:sz w:val="24"/>
          <w:szCs w:val="24"/>
        </w:rPr>
        <w:t>the</w:t>
      </w:r>
      <w:r w:rsidR="002367C0" w:rsidRPr="00A75E02">
        <w:rPr>
          <w:rFonts w:ascii="Times New Roman" w:hAnsi="Times New Roman"/>
          <w:sz w:val="24"/>
          <w:szCs w:val="24"/>
        </w:rPr>
        <w:t xml:space="preserve"> Centre for Human Rights and non-governmental organisations</w:t>
      </w:r>
      <w:r w:rsidR="00A934AA">
        <w:rPr>
          <w:rFonts w:ascii="Times New Roman" w:hAnsi="Times New Roman"/>
          <w:sz w:val="24"/>
          <w:szCs w:val="24"/>
        </w:rPr>
        <w:t xml:space="preserve"> of Roma</w:t>
      </w:r>
      <w:proofErr w:type="gramEnd"/>
      <w:r w:rsidR="002367C0" w:rsidRPr="00A75E02">
        <w:rPr>
          <w:rFonts w:ascii="Times New Roman" w:hAnsi="Times New Roman"/>
          <w:sz w:val="24"/>
          <w:szCs w:val="24"/>
        </w:rPr>
        <w:t>.</w:t>
      </w:r>
    </w:p>
    <w:p w14:paraId="5FC49A28" w14:textId="77777777" w:rsidR="008C049C" w:rsidRPr="00A75E02" w:rsidRDefault="008C049C" w:rsidP="00742FA3">
      <w:pPr>
        <w:spacing w:before="100" w:beforeAutospacing="1" w:after="100" w:afterAutospacing="1" w:line="240" w:lineRule="auto"/>
        <w:jc w:val="both"/>
        <w:rPr>
          <w:rFonts w:ascii="Times New Roman" w:hAnsi="Times New Roman" w:cs="Times New Roman"/>
          <w:b/>
          <w:sz w:val="24"/>
          <w:szCs w:val="24"/>
        </w:rPr>
      </w:pPr>
      <w:r w:rsidRPr="00A75E02">
        <w:rPr>
          <w:rFonts w:ascii="Times New Roman" w:hAnsi="Times New Roman"/>
          <w:b/>
          <w:sz w:val="24"/>
          <w:szCs w:val="24"/>
        </w:rPr>
        <w:t>II. Education</w:t>
      </w:r>
    </w:p>
    <w:p w14:paraId="145AE2E0" w14:textId="7DCABEE8" w:rsidR="00195DF7" w:rsidRPr="00A75E02" w:rsidRDefault="009457CD" w:rsidP="00742FA3">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bCs/>
          <w:sz w:val="24"/>
          <w:szCs w:val="24"/>
        </w:rPr>
        <w:t>83</w:t>
      </w:r>
      <w:r w:rsidR="002367C0" w:rsidRPr="00A75E02">
        <w:rPr>
          <w:rFonts w:ascii="Times New Roman" w:hAnsi="Times New Roman"/>
          <w:bCs/>
          <w:sz w:val="24"/>
          <w:szCs w:val="24"/>
        </w:rPr>
        <w:t xml:space="preserve">. The involvement of Roma children in education </w:t>
      </w:r>
      <w:proofErr w:type="gramStart"/>
      <w:r w:rsidR="002367C0" w:rsidRPr="00A75E02">
        <w:rPr>
          <w:rFonts w:ascii="Times New Roman" w:hAnsi="Times New Roman"/>
          <w:bCs/>
          <w:sz w:val="24"/>
          <w:szCs w:val="24"/>
        </w:rPr>
        <w:t>is monitored</w:t>
      </w:r>
      <w:proofErr w:type="gramEnd"/>
      <w:r w:rsidR="002367C0" w:rsidRPr="00A75E02">
        <w:rPr>
          <w:rFonts w:ascii="Times New Roman" w:hAnsi="Times New Roman"/>
          <w:bCs/>
          <w:sz w:val="24"/>
          <w:szCs w:val="24"/>
        </w:rPr>
        <w:t xml:space="preserve"> according to</w:t>
      </w:r>
      <w:r w:rsidR="00A77009" w:rsidRPr="00A75E02">
        <w:rPr>
          <w:rFonts w:ascii="Times New Roman" w:hAnsi="Times New Roman"/>
          <w:bCs/>
          <w:sz w:val="24"/>
          <w:szCs w:val="24"/>
        </w:rPr>
        <w:t xml:space="preserve"> statistical data on the mother</w:t>
      </w:r>
      <w:r w:rsidR="002367C0" w:rsidRPr="00A75E02">
        <w:rPr>
          <w:rFonts w:ascii="Times New Roman" w:hAnsi="Times New Roman"/>
          <w:bCs/>
          <w:sz w:val="24"/>
          <w:szCs w:val="24"/>
        </w:rPr>
        <w:t xml:space="preserve"> tongue of schoolchildren that is being collected. According to the data of 1 September 2017, in Lithuania pre-school establishments were attended by 15 Roma children, </w:t>
      </w:r>
      <w:proofErr w:type="gramStart"/>
      <w:r w:rsidR="002367C0" w:rsidRPr="00A75E02">
        <w:rPr>
          <w:rFonts w:ascii="Times New Roman" w:hAnsi="Times New Roman"/>
          <w:bCs/>
          <w:sz w:val="24"/>
          <w:szCs w:val="24"/>
        </w:rPr>
        <w:t>secondary schools were attended by 431 Roma children</w:t>
      </w:r>
      <w:proofErr w:type="gramEnd"/>
      <w:r w:rsidR="002367C0" w:rsidRPr="00A75E02">
        <w:rPr>
          <w:rFonts w:ascii="Times New Roman" w:hAnsi="Times New Roman"/>
          <w:bCs/>
          <w:sz w:val="24"/>
          <w:szCs w:val="24"/>
        </w:rPr>
        <w:t xml:space="preserve"> and professional training schools were attended by 22 Roma children.</w:t>
      </w:r>
    </w:p>
    <w:p w14:paraId="7DBE65E4" w14:textId="7DD3512B" w:rsidR="00195DF7" w:rsidRPr="00A75E02" w:rsidRDefault="009457CD" w:rsidP="00742FA3">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84</w:t>
      </w:r>
      <w:r w:rsidR="002367C0" w:rsidRPr="00A75E02">
        <w:rPr>
          <w:rFonts w:ascii="Times New Roman" w:hAnsi="Times New Roman"/>
          <w:sz w:val="24"/>
          <w:szCs w:val="24"/>
        </w:rPr>
        <w:t xml:space="preserve">. When implementing the Action plan for Roma integration into Lithuanian society for 2015-2020, in 2017 the Ministry of Science and Education has intensified </w:t>
      </w:r>
      <w:r w:rsidR="00A5488C">
        <w:rPr>
          <w:rFonts w:ascii="Times New Roman" w:hAnsi="Times New Roman"/>
          <w:sz w:val="24"/>
          <w:szCs w:val="24"/>
        </w:rPr>
        <w:t xml:space="preserve">the </w:t>
      </w:r>
      <w:r w:rsidR="002367C0" w:rsidRPr="00A75E02">
        <w:rPr>
          <w:rFonts w:ascii="Times New Roman" w:hAnsi="Times New Roman"/>
          <w:sz w:val="24"/>
          <w:szCs w:val="24"/>
        </w:rPr>
        <w:t>training for teachers, heads of schools, education support specialists and specialists of education units of municipal administrations envisaged in the Action plan and</w:t>
      </w:r>
      <w:r w:rsidR="001601D9">
        <w:rPr>
          <w:rFonts w:ascii="Times New Roman" w:hAnsi="Times New Roman"/>
          <w:sz w:val="24"/>
          <w:szCs w:val="24"/>
        </w:rPr>
        <w:t xml:space="preserve"> </w:t>
      </w:r>
      <w:r w:rsidR="002367C0" w:rsidRPr="00A75E02">
        <w:rPr>
          <w:rFonts w:ascii="Times New Roman" w:hAnsi="Times New Roman"/>
          <w:sz w:val="24"/>
          <w:szCs w:val="24"/>
        </w:rPr>
        <w:t>has taken the initiative to organise long-term activities targeted at competence improvement and involving the development of skills necessary to understand the needs of Roma children and to organise inclusive education taking into account of cultural diversity.</w:t>
      </w:r>
      <w:proofErr w:type="gramEnd"/>
      <w:r w:rsidR="001601D9">
        <w:rPr>
          <w:rFonts w:ascii="Times New Roman" w:hAnsi="Times New Roman"/>
          <w:sz w:val="24"/>
          <w:szCs w:val="24"/>
        </w:rPr>
        <w:t xml:space="preserve"> </w:t>
      </w:r>
      <w:r w:rsidR="00A5488C">
        <w:rPr>
          <w:rFonts w:ascii="Times New Roman" w:hAnsi="Times New Roman"/>
          <w:sz w:val="24"/>
          <w:szCs w:val="24"/>
        </w:rPr>
        <w:t xml:space="preserve">The </w:t>
      </w:r>
      <w:r w:rsidR="002367C0" w:rsidRPr="00A75E02">
        <w:rPr>
          <w:rFonts w:ascii="Times New Roman" w:hAnsi="Times New Roman"/>
          <w:sz w:val="24"/>
          <w:szCs w:val="24"/>
        </w:rPr>
        <w:t xml:space="preserve">Education Development Centre organised a series of </w:t>
      </w:r>
      <w:r w:rsidR="00E30A05">
        <w:rPr>
          <w:rFonts w:ascii="Times New Roman" w:hAnsi="Times New Roman"/>
          <w:sz w:val="24"/>
          <w:szCs w:val="24"/>
        </w:rPr>
        <w:t>training</w:t>
      </w:r>
      <w:r w:rsidR="002367C0" w:rsidRPr="00A75E02">
        <w:rPr>
          <w:rFonts w:ascii="Times New Roman" w:hAnsi="Times New Roman"/>
          <w:sz w:val="24"/>
          <w:szCs w:val="24"/>
        </w:rPr>
        <w:t xml:space="preserve"> sessions consisting of two days introductory training, practical training and </w:t>
      </w:r>
      <w:proofErr w:type="gramStart"/>
      <w:r w:rsidR="002367C0" w:rsidRPr="00A75E02">
        <w:rPr>
          <w:rFonts w:ascii="Times New Roman" w:hAnsi="Times New Roman"/>
          <w:sz w:val="24"/>
          <w:szCs w:val="24"/>
        </w:rPr>
        <w:t>one day</w:t>
      </w:r>
      <w:proofErr w:type="gramEnd"/>
      <w:r w:rsidR="002367C0" w:rsidRPr="00A75E02">
        <w:rPr>
          <w:rFonts w:ascii="Times New Roman" w:hAnsi="Times New Roman"/>
          <w:sz w:val="24"/>
          <w:szCs w:val="24"/>
        </w:rPr>
        <w:t xml:space="preserve"> reflection activities. The participants of such training represent school teams made up of a teacher, learning support specialist and representative of administration. Training</w:t>
      </w:r>
      <w:r w:rsidR="00B659CB">
        <w:rPr>
          <w:rFonts w:ascii="Times New Roman" w:hAnsi="Times New Roman"/>
          <w:sz w:val="24"/>
          <w:szCs w:val="24"/>
        </w:rPr>
        <w:t>s</w:t>
      </w:r>
      <w:r w:rsidR="002367C0" w:rsidRPr="00A75E02">
        <w:rPr>
          <w:rFonts w:ascii="Times New Roman" w:hAnsi="Times New Roman"/>
          <w:sz w:val="24"/>
          <w:szCs w:val="24"/>
        </w:rPr>
        <w:t xml:space="preserve"> o</w:t>
      </w:r>
      <w:r w:rsidR="00A77009" w:rsidRPr="00A75E02">
        <w:rPr>
          <w:rFonts w:ascii="Times New Roman" w:hAnsi="Times New Roman"/>
          <w:sz w:val="24"/>
          <w:szCs w:val="24"/>
        </w:rPr>
        <w:t xml:space="preserve">f this kind </w:t>
      </w:r>
      <w:proofErr w:type="gramStart"/>
      <w:r w:rsidR="00A77009" w:rsidRPr="00A75E02">
        <w:rPr>
          <w:rFonts w:ascii="Times New Roman" w:hAnsi="Times New Roman"/>
          <w:sz w:val="24"/>
          <w:szCs w:val="24"/>
        </w:rPr>
        <w:t>is planned</w:t>
      </w:r>
      <w:proofErr w:type="gramEnd"/>
      <w:r w:rsidR="00A77009" w:rsidRPr="00A75E02">
        <w:rPr>
          <w:rFonts w:ascii="Times New Roman" w:hAnsi="Times New Roman"/>
          <w:sz w:val="24"/>
          <w:szCs w:val="24"/>
        </w:rPr>
        <w:t xml:space="preserve"> for 2018-</w:t>
      </w:r>
      <w:r w:rsidR="00B659CB">
        <w:rPr>
          <w:rFonts w:ascii="Times New Roman" w:hAnsi="Times New Roman"/>
          <w:sz w:val="24"/>
          <w:szCs w:val="24"/>
        </w:rPr>
        <w:t xml:space="preserve">2020 as well. </w:t>
      </w:r>
      <w:proofErr w:type="gramStart"/>
      <w:r w:rsidR="00B659CB">
        <w:rPr>
          <w:rFonts w:ascii="Times New Roman" w:hAnsi="Times New Roman"/>
          <w:sz w:val="24"/>
          <w:szCs w:val="24"/>
        </w:rPr>
        <w:t>T</w:t>
      </w:r>
      <w:r w:rsidR="002367C0" w:rsidRPr="00A75E02">
        <w:rPr>
          <w:rFonts w:ascii="Times New Roman" w:hAnsi="Times New Roman"/>
          <w:sz w:val="24"/>
          <w:szCs w:val="24"/>
        </w:rPr>
        <w:t>raining</w:t>
      </w:r>
      <w:r w:rsidR="00B659CB">
        <w:rPr>
          <w:rFonts w:ascii="Times New Roman" w:hAnsi="Times New Roman"/>
          <w:sz w:val="24"/>
          <w:szCs w:val="24"/>
        </w:rPr>
        <w:t>s are</w:t>
      </w:r>
      <w:r w:rsidR="002367C0" w:rsidRPr="00A75E02">
        <w:rPr>
          <w:rFonts w:ascii="Times New Roman" w:hAnsi="Times New Roman"/>
          <w:sz w:val="24"/>
          <w:szCs w:val="24"/>
        </w:rPr>
        <w:t xml:space="preserve"> linked to educational workshops that are dedicated to the issues of equal opportunities and non-discrimination and are attended by pupils and teachers</w:t>
      </w:r>
      <w:proofErr w:type="gramEnd"/>
      <w:r w:rsidR="002367C0" w:rsidRPr="00A75E02">
        <w:rPr>
          <w:rFonts w:ascii="Times New Roman" w:hAnsi="Times New Roman"/>
          <w:sz w:val="24"/>
          <w:szCs w:val="24"/>
        </w:rPr>
        <w:t xml:space="preserve"> from schools participating i</w:t>
      </w:r>
      <w:r w:rsidR="00A77009" w:rsidRPr="00A75E02">
        <w:rPr>
          <w:rFonts w:ascii="Times New Roman" w:hAnsi="Times New Roman"/>
          <w:sz w:val="24"/>
          <w:szCs w:val="24"/>
        </w:rPr>
        <w:t>n the above-mentioned training</w:t>
      </w:r>
      <w:r w:rsidR="00B659CB">
        <w:rPr>
          <w:rFonts w:ascii="Times New Roman" w:hAnsi="Times New Roman"/>
          <w:sz w:val="24"/>
          <w:szCs w:val="24"/>
        </w:rPr>
        <w:t>s</w:t>
      </w:r>
      <w:r w:rsidR="00A77009" w:rsidRPr="00A75E02">
        <w:rPr>
          <w:rFonts w:ascii="Times New Roman" w:hAnsi="Times New Roman"/>
          <w:sz w:val="24"/>
          <w:szCs w:val="24"/>
        </w:rPr>
        <w:t>.</w:t>
      </w:r>
      <w:r w:rsidR="002367C0" w:rsidRPr="00A75E02">
        <w:rPr>
          <w:rFonts w:ascii="Times New Roman" w:hAnsi="Times New Roman"/>
          <w:sz w:val="24"/>
          <w:szCs w:val="24"/>
        </w:rPr>
        <w:t xml:space="preserve"> Such educational workshops apply attractive and modern methods when performing the task of </w:t>
      </w:r>
      <w:r w:rsidR="00020007">
        <w:rPr>
          <w:rFonts w:ascii="Times New Roman" w:hAnsi="Times New Roman"/>
          <w:sz w:val="24"/>
          <w:szCs w:val="24"/>
        </w:rPr>
        <w:t>addressing</w:t>
      </w:r>
      <w:r w:rsidR="002367C0" w:rsidRPr="00A75E02">
        <w:rPr>
          <w:rFonts w:ascii="Times New Roman" w:hAnsi="Times New Roman"/>
          <w:sz w:val="24"/>
          <w:szCs w:val="24"/>
        </w:rPr>
        <w:t xml:space="preserve"> negative attitudes towards Roma, teaching </w:t>
      </w:r>
      <w:r w:rsidR="00020007">
        <w:rPr>
          <w:rFonts w:ascii="Times New Roman" w:hAnsi="Times New Roman"/>
          <w:sz w:val="24"/>
          <w:szCs w:val="24"/>
        </w:rPr>
        <w:t>tolerance and respect</w:t>
      </w:r>
      <w:r w:rsidR="002367C0" w:rsidRPr="00A75E02">
        <w:rPr>
          <w:rFonts w:ascii="Times New Roman" w:hAnsi="Times New Roman"/>
          <w:sz w:val="24"/>
          <w:szCs w:val="24"/>
        </w:rPr>
        <w:t xml:space="preserve">, developing critical approach of school pupils and teachers to stereotypes related to images of Roma presented in the media as well as in Lithuanian ethnology (masks used for Lithuania festival </w:t>
      </w:r>
      <w:proofErr w:type="spellStart"/>
      <w:r w:rsidR="002367C0" w:rsidRPr="00A75E02">
        <w:rPr>
          <w:rFonts w:ascii="Times New Roman" w:hAnsi="Times New Roman"/>
          <w:sz w:val="24"/>
          <w:szCs w:val="24"/>
        </w:rPr>
        <w:t>Užgavėnės</w:t>
      </w:r>
      <w:proofErr w:type="spellEnd"/>
      <w:r w:rsidR="002367C0" w:rsidRPr="00A75E02">
        <w:rPr>
          <w:rFonts w:ascii="Times New Roman" w:hAnsi="Times New Roman"/>
          <w:sz w:val="24"/>
          <w:szCs w:val="24"/>
        </w:rPr>
        <w:t>, portrayal of Roma in songs, proverbs, etc.).</w:t>
      </w:r>
    </w:p>
    <w:p w14:paraId="0C57D6B7" w14:textId="2CEA53B0" w:rsidR="00195DF7" w:rsidRPr="00A75E02" w:rsidRDefault="009457C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85</w:t>
      </w:r>
      <w:r w:rsidR="002367C0" w:rsidRPr="00A75E02">
        <w:rPr>
          <w:rFonts w:ascii="Times New Roman" w:hAnsi="Times New Roman"/>
          <w:sz w:val="24"/>
          <w:szCs w:val="24"/>
        </w:rPr>
        <w:t xml:space="preserve">. The Ministry of </w:t>
      </w:r>
      <w:r w:rsidR="000A3A86" w:rsidRPr="00A75E02">
        <w:rPr>
          <w:rFonts w:ascii="Times New Roman" w:hAnsi="Times New Roman"/>
          <w:sz w:val="24"/>
          <w:szCs w:val="24"/>
        </w:rPr>
        <w:t xml:space="preserve">Education and </w:t>
      </w:r>
      <w:r w:rsidR="002367C0" w:rsidRPr="00A75E02">
        <w:rPr>
          <w:rFonts w:ascii="Times New Roman" w:hAnsi="Times New Roman"/>
          <w:sz w:val="24"/>
          <w:szCs w:val="24"/>
        </w:rPr>
        <w:t>Scie</w:t>
      </w:r>
      <w:r w:rsidR="004651A4">
        <w:rPr>
          <w:rFonts w:ascii="Times New Roman" w:hAnsi="Times New Roman"/>
          <w:sz w:val="24"/>
          <w:szCs w:val="24"/>
        </w:rPr>
        <w:t xml:space="preserve">nce in cooperation with the NMD, in the </w:t>
      </w:r>
      <w:proofErr w:type="spellStart"/>
      <w:r w:rsidR="004651A4">
        <w:rPr>
          <w:rFonts w:ascii="Times New Roman" w:hAnsi="Times New Roman"/>
          <w:sz w:val="24"/>
          <w:szCs w:val="24"/>
        </w:rPr>
        <w:t>contect</w:t>
      </w:r>
      <w:proofErr w:type="spellEnd"/>
      <w:r w:rsidR="004651A4">
        <w:rPr>
          <w:rFonts w:ascii="Times New Roman" w:hAnsi="Times New Roman"/>
          <w:sz w:val="24"/>
          <w:szCs w:val="24"/>
        </w:rPr>
        <w:t xml:space="preserve"> of </w:t>
      </w:r>
      <w:r w:rsidR="002367C0" w:rsidRPr="00A75E02">
        <w:rPr>
          <w:rFonts w:ascii="Times New Roman" w:hAnsi="Times New Roman"/>
          <w:sz w:val="24"/>
          <w:szCs w:val="24"/>
        </w:rPr>
        <w:t xml:space="preserve">the project ‘Local Roma Platforms – Path Towards Cooperation with Municipalities’ has initiated a separate activity involving long-term consultations that assist the school and local community in developing new approach to Roma integration in </w:t>
      </w:r>
      <w:proofErr w:type="spellStart"/>
      <w:r w:rsidR="002367C0" w:rsidRPr="00A75E02">
        <w:rPr>
          <w:rFonts w:ascii="Times New Roman" w:hAnsi="Times New Roman"/>
          <w:sz w:val="24"/>
          <w:szCs w:val="24"/>
        </w:rPr>
        <w:t>Eišiškės</w:t>
      </w:r>
      <w:proofErr w:type="spellEnd"/>
      <w:r w:rsidR="002367C0" w:rsidRPr="00A75E02">
        <w:rPr>
          <w:rFonts w:ascii="Times New Roman" w:hAnsi="Times New Roman"/>
          <w:sz w:val="24"/>
          <w:szCs w:val="24"/>
        </w:rPr>
        <w:t xml:space="preserve"> </w:t>
      </w:r>
      <w:proofErr w:type="spellStart"/>
      <w:r w:rsidR="002367C0" w:rsidRPr="00A75E02">
        <w:rPr>
          <w:rFonts w:ascii="Times New Roman" w:hAnsi="Times New Roman"/>
          <w:sz w:val="24"/>
          <w:szCs w:val="24"/>
        </w:rPr>
        <w:t>Stanislovas</w:t>
      </w:r>
      <w:proofErr w:type="spellEnd"/>
      <w:r w:rsidR="002367C0" w:rsidRPr="00A75E02">
        <w:rPr>
          <w:rFonts w:ascii="Times New Roman" w:hAnsi="Times New Roman"/>
          <w:sz w:val="24"/>
          <w:szCs w:val="24"/>
        </w:rPr>
        <w:t xml:space="preserve"> </w:t>
      </w:r>
      <w:proofErr w:type="spellStart"/>
      <w:r w:rsidR="002367C0" w:rsidRPr="00A75E02">
        <w:rPr>
          <w:rFonts w:ascii="Times New Roman" w:hAnsi="Times New Roman"/>
          <w:sz w:val="24"/>
          <w:szCs w:val="24"/>
        </w:rPr>
        <w:t>Rapolionis</w:t>
      </w:r>
      <w:proofErr w:type="spellEnd"/>
      <w:r w:rsidR="002367C0" w:rsidRPr="00A75E02">
        <w:rPr>
          <w:rFonts w:ascii="Times New Roman" w:hAnsi="Times New Roman"/>
          <w:sz w:val="24"/>
          <w:szCs w:val="24"/>
        </w:rPr>
        <w:t xml:space="preserve"> gymnasium in the districts of </w:t>
      </w:r>
      <w:proofErr w:type="spellStart"/>
      <w:r w:rsidR="002367C0" w:rsidRPr="00A75E02">
        <w:rPr>
          <w:rFonts w:ascii="Times New Roman" w:hAnsi="Times New Roman"/>
          <w:sz w:val="24"/>
          <w:szCs w:val="24"/>
        </w:rPr>
        <w:t>Šalčininkai</w:t>
      </w:r>
      <w:proofErr w:type="spellEnd"/>
      <w:r w:rsidR="002367C0" w:rsidRPr="00A75E02">
        <w:rPr>
          <w:rFonts w:ascii="Times New Roman" w:hAnsi="Times New Roman"/>
          <w:sz w:val="24"/>
          <w:szCs w:val="24"/>
        </w:rPr>
        <w:t>.</w:t>
      </w:r>
      <w:r w:rsidR="002367C0" w:rsidRPr="00A75E02">
        <w:rPr>
          <w:rFonts w:ascii="Times New Roman" w:hAnsi="Times New Roman"/>
          <w:bCs/>
          <w:sz w:val="24"/>
          <w:szCs w:val="24"/>
        </w:rPr>
        <w:t xml:space="preserve"> </w:t>
      </w:r>
      <w:r w:rsidR="002367C0" w:rsidRPr="00A75E02">
        <w:rPr>
          <w:rFonts w:ascii="Times New Roman" w:hAnsi="Times New Roman"/>
          <w:sz w:val="24"/>
          <w:szCs w:val="24"/>
        </w:rPr>
        <w:t xml:space="preserve">The project implemented by the National Minorities Department ensures the activity of </w:t>
      </w:r>
      <w:r w:rsidR="002367C0" w:rsidRPr="00A75E02">
        <w:rPr>
          <w:rFonts w:ascii="Times New Roman" w:hAnsi="Times New Roman"/>
          <w:sz w:val="24"/>
          <w:szCs w:val="24"/>
        </w:rPr>
        <w:lastRenderedPageBreak/>
        <w:t xml:space="preserve">Roma mediator entrusted with the main task of ensuring regular attendance of </w:t>
      </w:r>
      <w:proofErr w:type="spellStart"/>
      <w:r w:rsidR="002367C0" w:rsidRPr="00A75E02">
        <w:rPr>
          <w:rFonts w:ascii="Times New Roman" w:hAnsi="Times New Roman"/>
          <w:sz w:val="24"/>
          <w:szCs w:val="24"/>
        </w:rPr>
        <w:t>Stanislovas</w:t>
      </w:r>
      <w:proofErr w:type="spellEnd"/>
      <w:r w:rsidR="002367C0" w:rsidRPr="00A75E02">
        <w:rPr>
          <w:rFonts w:ascii="Times New Roman" w:hAnsi="Times New Roman"/>
          <w:sz w:val="24"/>
          <w:szCs w:val="24"/>
        </w:rPr>
        <w:t xml:space="preserve"> </w:t>
      </w:r>
      <w:proofErr w:type="spellStart"/>
      <w:r w:rsidR="002367C0" w:rsidRPr="00A75E02">
        <w:rPr>
          <w:rFonts w:ascii="Times New Roman" w:hAnsi="Times New Roman"/>
          <w:sz w:val="24"/>
          <w:szCs w:val="24"/>
        </w:rPr>
        <w:t>Rapolionis</w:t>
      </w:r>
      <w:proofErr w:type="spellEnd"/>
      <w:r w:rsidR="002367C0" w:rsidRPr="00A75E02">
        <w:rPr>
          <w:rFonts w:ascii="Times New Roman" w:hAnsi="Times New Roman"/>
          <w:sz w:val="24"/>
          <w:szCs w:val="24"/>
        </w:rPr>
        <w:t xml:space="preserve"> gymnasium by Roma children.</w:t>
      </w:r>
      <w:r w:rsidR="001601D9">
        <w:rPr>
          <w:rFonts w:ascii="Times New Roman" w:hAnsi="Times New Roman"/>
          <w:sz w:val="24"/>
          <w:szCs w:val="24"/>
        </w:rPr>
        <w:t xml:space="preserve"> </w:t>
      </w:r>
      <w:r w:rsidR="002367C0" w:rsidRPr="00A75E02">
        <w:rPr>
          <w:rFonts w:ascii="Times New Roman" w:hAnsi="Times New Roman"/>
          <w:sz w:val="24"/>
          <w:szCs w:val="24"/>
        </w:rPr>
        <w:t xml:space="preserve">The joint efforts of the two institutions serve as an example of perfect </w:t>
      </w:r>
      <w:proofErr w:type="spellStart"/>
      <w:r w:rsidR="002367C0" w:rsidRPr="00A75E02">
        <w:rPr>
          <w:rFonts w:ascii="Times New Roman" w:hAnsi="Times New Roman"/>
          <w:sz w:val="24"/>
          <w:szCs w:val="24"/>
        </w:rPr>
        <w:t>interinstitutional</w:t>
      </w:r>
      <w:proofErr w:type="spellEnd"/>
      <w:r w:rsidR="002367C0" w:rsidRPr="00A75E02">
        <w:rPr>
          <w:rFonts w:ascii="Times New Roman" w:hAnsi="Times New Roman"/>
          <w:sz w:val="24"/>
          <w:szCs w:val="24"/>
        </w:rPr>
        <w:t xml:space="preserve"> cooperation when encouraging local community to solve Roma related issues in </w:t>
      </w:r>
      <w:r w:rsidR="004651A4">
        <w:rPr>
          <w:rFonts w:ascii="Times New Roman" w:hAnsi="Times New Roman"/>
          <w:sz w:val="24"/>
          <w:szCs w:val="24"/>
        </w:rPr>
        <w:t>through dialogue</w:t>
      </w:r>
      <w:r w:rsidR="002367C0" w:rsidRPr="00A75E02">
        <w:rPr>
          <w:rFonts w:ascii="Times New Roman" w:hAnsi="Times New Roman"/>
          <w:sz w:val="24"/>
          <w:szCs w:val="24"/>
        </w:rPr>
        <w:t xml:space="preserve">. </w:t>
      </w:r>
    </w:p>
    <w:p w14:paraId="20D4D9C3" w14:textId="74C3047B" w:rsidR="00195DF7" w:rsidRPr="00A75E02" w:rsidRDefault="009457C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86</w:t>
      </w:r>
      <w:r w:rsidR="002367C0" w:rsidRPr="00A75E02">
        <w:rPr>
          <w:rFonts w:ascii="Times New Roman" w:hAnsi="Times New Roman"/>
          <w:sz w:val="24"/>
          <w:szCs w:val="24"/>
        </w:rPr>
        <w:t xml:space="preserve">. For reasons of consistency, the same consultant who works with teams of schools as well as the communities of </w:t>
      </w:r>
      <w:proofErr w:type="spellStart"/>
      <w:r w:rsidR="002367C0" w:rsidRPr="00A75E02">
        <w:rPr>
          <w:rFonts w:ascii="Times New Roman" w:hAnsi="Times New Roman"/>
          <w:sz w:val="24"/>
          <w:szCs w:val="24"/>
        </w:rPr>
        <w:t>Stanislovas</w:t>
      </w:r>
      <w:proofErr w:type="spellEnd"/>
      <w:r w:rsidR="002367C0" w:rsidRPr="00A75E02">
        <w:rPr>
          <w:rFonts w:ascii="Times New Roman" w:hAnsi="Times New Roman"/>
          <w:sz w:val="24"/>
          <w:szCs w:val="24"/>
        </w:rPr>
        <w:t xml:space="preserve"> </w:t>
      </w:r>
      <w:proofErr w:type="spellStart"/>
      <w:r w:rsidR="002367C0" w:rsidRPr="00A75E02">
        <w:rPr>
          <w:rFonts w:ascii="Times New Roman" w:hAnsi="Times New Roman"/>
          <w:sz w:val="24"/>
          <w:szCs w:val="24"/>
        </w:rPr>
        <w:t>Rapolionis</w:t>
      </w:r>
      <w:proofErr w:type="spellEnd"/>
      <w:r w:rsidR="002367C0" w:rsidRPr="00A75E02">
        <w:rPr>
          <w:rFonts w:ascii="Times New Roman" w:hAnsi="Times New Roman"/>
          <w:sz w:val="24"/>
          <w:szCs w:val="24"/>
        </w:rPr>
        <w:t xml:space="preserve"> gymnasium and the town of </w:t>
      </w:r>
      <w:proofErr w:type="spellStart"/>
      <w:r w:rsidR="002367C0" w:rsidRPr="00A75E02">
        <w:rPr>
          <w:rFonts w:ascii="Times New Roman" w:hAnsi="Times New Roman"/>
          <w:sz w:val="24"/>
          <w:szCs w:val="24"/>
        </w:rPr>
        <w:t>Eišiškės</w:t>
      </w:r>
      <w:proofErr w:type="spellEnd"/>
      <w:r w:rsidR="002367C0" w:rsidRPr="00A75E02">
        <w:rPr>
          <w:rFonts w:ascii="Times New Roman" w:hAnsi="Times New Roman"/>
          <w:sz w:val="24"/>
          <w:szCs w:val="24"/>
        </w:rPr>
        <w:t xml:space="preserve"> will prepare practical recommendations on work with Roma families with children of pre-school and school age.</w:t>
      </w:r>
      <w:r w:rsidR="002367C0" w:rsidRPr="00A75E02">
        <w:rPr>
          <w:rFonts w:ascii="Times New Roman" w:hAnsi="Times New Roman"/>
          <w:bCs/>
          <w:sz w:val="24"/>
          <w:szCs w:val="24"/>
        </w:rPr>
        <w:t xml:space="preserve"> </w:t>
      </w:r>
      <w:r w:rsidR="002367C0" w:rsidRPr="00A75E02">
        <w:rPr>
          <w:rFonts w:ascii="Times New Roman" w:hAnsi="Times New Roman"/>
          <w:sz w:val="24"/>
          <w:szCs w:val="24"/>
        </w:rPr>
        <w:t xml:space="preserve">The aim of such recommendations is to ensure </w:t>
      </w:r>
      <w:proofErr w:type="gramStart"/>
      <w:r w:rsidR="002367C0" w:rsidRPr="00A75E02">
        <w:rPr>
          <w:rFonts w:ascii="Times New Roman" w:hAnsi="Times New Roman"/>
          <w:sz w:val="24"/>
          <w:szCs w:val="24"/>
        </w:rPr>
        <w:t>more effective educational work involving Roma families with children of school age</w:t>
      </w:r>
      <w:proofErr w:type="gramEnd"/>
      <w:r w:rsidR="002367C0" w:rsidRPr="00A75E02">
        <w:rPr>
          <w:rFonts w:ascii="Times New Roman" w:hAnsi="Times New Roman"/>
          <w:sz w:val="24"/>
          <w:szCs w:val="24"/>
        </w:rPr>
        <w:t xml:space="preserve"> and to increase integration of Roma children by involving them into life of school and local community. The recommendations are prepared </w:t>
      </w:r>
      <w:proofErr w:type="gramStart"/>
      <w:r w:rsidR="002367C0" w:rsidRPr="00A75E02">
        <w:rPr>
          <w:rFonts w:ascii="Times New Roman" w:hAnsi="Times New Roman"/>
          <w:sz w:val="24"/>
          <w:szCs w:val="24"/>
        </w:rPr>
        <w:t>on the basis of</w:t>
      </w:r>
      <w:proofErr w:type="gramEnd"/>
      <w:r w:rsidR="002367C0" w:rsidRPr="00A75E02">
        <w:rPr>
          <w:rFonts w:ascii="Times New Roman" w:hAnsi="Times New Roman"/>
          <w:sz w:val="24"/>
          <w:szCs w:val="24"/>
        </w:rPr>
        <w:t xml:space="preserve"> experience gained when providing consultations and training to the school, they will be presented during the meeting organised for </w:t>
      </w:r>
      <w:r w:rsidR="009113A7">
        <w:rPr>
          <w:rFonts w:ascii="Times New Roman" w:hAnsi="Times New Roman"/>
          <w:sz w:val="24"/>
          <w:szCs w:val="24"/>
        </w:rPr>
        <w:t>representatives</w:t>
      </w:r>
      <w:r w:rsidR="002367C0" w:rsidRPr="00A75E02">
        <w:rPr>
          <w:rFonts w:ascii="Times New Roman" w:hAnsi="Times New Roman"/>
          <w:sz w:val="24"/>
          <w:szCs w:val="24"/>
        </w:rPr>
        <w:t xml:space="preserve"> of municipal administrations and education centres.</w:t>
      </w:r>
    </w:p>
    <w:p w14:paraId="20B2D8EC" w14:textId="38BA9EC4" w:rsidR="00195DF7" w:rsidRPr="00A75E02" w:rsidRDefault="009457C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87</w:t>
      </w:r>
      <w:r w:rsidR="002367C0" w:rsidRPr="00A75E02">
        <w:rPr>
          <w:rFonts w:ascii="Times New Roman" w:hAnsi="Times New Roman"/>
          <w:sz w:val="24"/>
          <w:szCs w:val="24"/>
        </w:rPr>
        <w:t>. Roma integration activi</w:t>
      </w:r>
      <w:r w:rsidR="00724B7B">
        <w:rPr>
          <w:rFonts w:ascii="Times New Roman" w:hAnsi="Times New Roman"/>
          <w:sz w:val="24"/>
          <w:szCs w:val="24"/>
        </w:rPr>
        <w:t xml:space="preserve">ties </w:t>
      </w:r>
      <w:proofErr w:type="gramStart"/>
      <w:r w:rsidR="00724B7B">
        <w:rPr>
          <w:rFonts w:ascii="Times New Roman" w:hAnsi="Times New Roman"/>
          <w:sz w:val="24"/>
          <w:szCs w:val="24"/>
        </w:rPr>
        <w:t>are planned</w:t>
      </w:r>
      <w:proofErr w:type="gramEnd"/>
      <w:r w:rsidR="00724B7B">
        <w:rPr>
          <w:rFonts w:ascii="Times New Roman" w:hAnsi="Times New Roman"/>
          <w:sz w:val="24"/>
          <w:szCs w:val="24"/>
        </w:rPr>
        <w:t xml:space="preserve"> to include </w:t>
      </w:r>
      <w:r w:rsidR="002367C0" w:rsidRPr="00A75E02">
        <w:rPr>
          <w:rFonts w:ascii="Times New Roman" w:hAnsi="Times New Roman"/>
          <w:sz w:val="24"/>
          <w:szCs w:val="24"/>
        </w:rPr>
        <w:t xml:space="preserve">meetings with the parties concerned to exchange the views and to discuss existing or new measures necessary in order to ensure smoother involvement of Roma children into formal and non-formal education. The </w:t>
      </w:r>
      <w:proofErr w:type="gramStart"/>
      <w:r w:rsidR="002367C0" w:rsidRPr="00A75E02">
        <w:rPr>
          <w:rFonts w:ascii="Times New Roman" w:hAnsi="Times New Roman"/>
          <w:sz w:val="24"/>
          <w:szCs w:val="24"/>
        </w:rPr>
        <w:t xml:space="preserve">meetings will be attended by the representatives of the Ministry of </w:t>
      </w:r>
      <w:r w:rsidR="00724B7B" w:rsidRPr="00A75E02">
        <w:rPr>
          <w:rFonts w:ascii="Times New Roman" w:hAnsi="Times New Roman"/>
          <w:sz w:val="24"/>
          <w:szCs w:val="24"/>
        </w:rPr>
        <w:t xml:space="preserve">Education and </w:t>
      </w:r>
      <w:r w:rsidR="002367C0" w:rsidRPr="00A75E02">
        <w:rPr>
          <w:rFonts w:ascii="Times New Roman" w:hAnsi="Times New Roman"/>
          <w:sz w:val="24"/>
          <w:szCs w:val="24"/>
        </w:rPr>
        <w:t>Science, the Education Development Centre, the National Centre for Special Needs Education and Psychology, the Lithuanian Centre of Non-formal Youth Education, NMD and other establishments and non-governmental organisations concerned</w:t>
      </w:r>
      <w:proofErr w:type="gramEnd"/>
      <w:r w:rsidR="002367C0" w:rsidRPr="00A75E02">
        <w:rPr>
          <w:rFonts w:ascii="Times New Roman" w:hAnsi="Times New Roman"/>
          <w:sz w:val="24"/>
          <w:szCs w:val="24"/>
        </w:rPr>
        <w:t>.</w:t>
      </w:r>
    </w:p>
    <w:p w14:paraId="0838895D" w14:textId="77777777" w:rsidR="00147E21" w:rsidRPr="00A75E02" w:rsidRDefault="00147E21"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The Committee recommends that the State party take proactive measures to provide Roma with identity documents. The Committee recommends that the State party, to that end, raise awareness among Roma families about the necessity of possessing identity documents and of civil registration and about the relevant documentation and registration procedures. The Committee also recommends that the State party raise awareness among Roma communities about the law on citizenship of 2011 and the procedures for obtaining citizenship.</w:t>
      </w:r>
    </w:p>
    <w:p w14:paraId="7BFA6E07" w14:textId="550445DB" w:rsidR="00147E21" w:rsidRPr="00A75E02" w:rsidRDefault="009457CD" w:rsidP="004A58A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88. Refer to paragraph 59</w:t>
      </w:r>
      <w:r w:rsidR="006B6CB4">
        <w:rPr>
          <w:rFonts w:ascii="Times New Roman" w:hAnsi="Times New Roman"/>
          <w:sz w:val="24"/>
          <w:szCs w:val="24"/>
        </w:rPr>
        <w:t xml:space="preserve"> (</w:t>
      </w:r>
      <w:r w:rsidR="006B6CB4" w:rsidRPr="00A75E02">
        <w:rPr>
          <w:rFonts w:ascii="Times New Roman" w:hAnsi="Times New Roman"/>
          <w:sz w:val="24"/>
          <w:szCs w:val="24"/>
        </w:rPr>
        <w:t>I</w:t>
      </w:r>
      <w:proofErr w:type="gramStart"/>
      <w:r w:rsidR="006B6CB4" w:rsidRPr="00A75E02">
        <w:rPr>
          <w:rFonts w:ascii="Times New Roman" w:hAnsi="Times New Roman"/>
          <w:sz w:val="24"/>
          <w:szCs w:val="24"/>
        </w:rPr>
        <w:t>.(</w:t>
      </w:r>
      <w:proofErr w:type="gramEnd"/>
      <w:r w:rsidR="006B6CB4" w:rsidRPr="00A75E02">
        <w:rPr>
          <w:rFonts w:ascii="Times New Roman" w:hAnsi="Times New Roman"/>
          <w:sz w:val="24"/>
          <w:szCs w:val="24"/>
        </w:rPr>
        <w:t>a) ‘The findings of the 2014 study on the situation of the Roma national minority’</w:t>
      </w:r>
      <w:r w:rsidR="006B6CB4">
        <w:rPr>
          <w:rFonts w:ascii="Times New Roman" w:hAnsi="Times New Roman"/>
          <w:sz w:val="24"/>
          <w:szCs w:val="24"/>
        </w:rPr>
        <w:t>)</w:t>
      </w:r>
      <w:r w:rsidR="002367C0" w:rsidRPr="00A75E02">
        <w:rPr>
          <w:rFonts w:ascii="Times New Roman" w:hAnsi="Times New Roman"/>
          <w:sz w:val="24"/>
          <w:szCs w:val="24"/>
        </w:rPr>
        <w:t xml:space="preserve"> of previous recommendation</w:t>
      </w:r>
      <w:r w:rsidR="00EA7D36">
        <w:rPr>
          <w:rFonts w:ascii="Times New Roman" w:hAnsi="Times New Roman"/>
          <w:sz w:val="24"/>
          <w:szCs w:val="24"/>
        </w:rPr>
        <w:t>.</w:t>
      </w:r>
      <w:r w:rsidR="002367C0" w:rsidRPr="00A75E02">
        <w:rPr>
          <w:rFonts w:ascii="Times New Roman" w:hAnsi="Times New Roman"/>
          <w:sz w:val="24"/>
          <w:szCs w:val="24"/>
        </w:rPr>
        <w:t xml:space="preserve"> </w:t>
      </w:r>
    </w:p>
    <w:p w14:paraId="515BFA0E" w14:textId="77777777" w:rsidR="004A58A0" w:rsidRPr="00A75E02" w:rsidRDefault="007632EC" w:rsidP="004A58A0">
      <w:pPr>
        <w:spacing w:before="100" w:beforeAutospacing="1" w:after="100" w:afterAutospacing="1" w:line="240" w:lineRule="auto"/>
        <w:jc w:val="both"/>
        <w:rPr>
          <w:rFonts w:ascii="Times New Roman" w:hAnsi="Times New Roman" w:cs="Times New Roman"/>
          <w:bCs/>
          <w:i/>
          <w:sz w:val="24"/>
          <w:szCs w:val="24"/>
        </w:rPr>
      </w:pPr>
      <w:proofErr w:type="gramStart"/>
      <w:r w:rsidRPr="00A75E02">
        <w:rPr>
          <w:rFonts w:ascii="Times New Roman" w:hAnsi="Times New Roman"/>
          <w:bCs/>
          <w:i/>
          <w:sz w:val="24"/>
          <w:szCs w:val="24"/>
        </w:rPr>
        <w:t>The Committee recommends that the State party closely monitor the effective application of the anti-discrimination legislation and consider taking special measures to foster the integration of national and ethnic minorities into society, in particular in the labour market, paying particular attention to the situation of minority and migrant women, taking into account the Committee’s general recommendation No. 25 (2000) on gender-related dimensions of racial discrimination.</w:t>
      </w:r>
      <w:proofErr w:type="gramEnd"/>
      <w:r w:rsidRPr="00A75E02">
        <w:rPr>
          <w:rFonts w:ascii="Times New Roman" w:hAnsi="Times New Roman"/>
          <w:bCs/>
          <w:i/>
          <w:sz w:val="24"/>
          <w:szCs w:val="24"/>
        </w:rPr>
        <w:t xml:space="preserve"> The Committee also recommends that the State party collect and provide information on the level of representation of minorities in public affairs, including in the police, with a view to improving such representation. The Committee further recommends that the State party provide information on the implementation of the Constitutional </w:t>
      </w:r>
      <w:proofErr w:type="gramStart"/>
      <w:r w:rsidRPr="00A75E02">
        <w:rPr>
          <w:rFonts w:ascii="Times New Roman" w:hAnsi="Times New Roman"/>
          <w:bCs/>
          <w:i/>
          <w:sz w:val="24"/>
          <w:szCs w:val="24"/>
        </w:rPr>
        <w:t>Court’s</w:t>
      </w:r>
      <w:proofErr w:type="gramEnd"/>
      <w:r w:rsidRPr="00A75E02">
        <w:rPr>
          <w:rFonts w:ascii="Times New Roman" w:hAnsi="Times New Roman"/>
          <w:bCs/>
          <w:i/>
          <w:sz w:val="24"/>
          <w:szCs w:val="24"/>
        </w:rPr>
        <w:t xml:space="preserve"> ruling on the use of names in languages other than Lithuanian in identity cards for persons belonging to minorities.</w:t>
      </w:r>
    </w:p>
    <w:p w14:paraId="5094BA22" w14:textId="7AAFFAFF" w:rsidR="00737886" w:rsidRPr="00A75E02" w:rsidRDefault="001515BD" w:rsidP="004A58A0">
      <w:pPr>
        <w:spacing w:before="100" w:beforeAutospacing="1" w:after="100" w:afterAutospacing="1" w:line="240" w:lineRule="auto"/>
        <w:jc w:val="both"/>
        <w:rPr>
          <w:rFonts w:ascii="Times New Roman" w:hAnsi="Times New Roman" w:cs="Times New Roman"/>
          <w:bCs/>
          <w:i/>
          <w:sz w:val="24"/>
          <w:szCs w:val="24"/>
        </w:rPr>
      </w:pPr>
      <w:r>
        <w:rPr>
          <w:rFonts w:ascii="Times New Roman" w:hAnsi="Times New Roman"/>
          <w:sz w:val="24"/>
        </w:rPr>
        <w:t>89</w:t>
      </w:r>
      <w:r w:rsidR="00263E37" w:rsidRPr="00A75E02">
        <w:rPr>
          <w:rFonts w:ascii="Times New Roman" w:hAnsi="Times New Roman"/>
          <w:sz w:val="24"/>
        </w:rPr>
        <w:t>. The Ministry of Social Security and Labour coordinated the Inter</w:t>
      </w:r>
      <w:r w:rsidR="00DF0359">
        <w:rPr>
          <w:rFonts w:ascii="Times New Roman" w:hAnsi="Times New Roman"/>
          <w:sz w:val="24"/>
        </w:rPr>
        <w:t>-</w:t>
      </w:r>
      <w:r w:rsidR="00263E37" w:rsidRPr="00A75E02">
        <w:rPr>
          <w:rFonts w:ascii="Times New Roman" w:hAnsi="Times New Roman"/>
          <w:sz w:val="24"/>
        </w:rPr>
        <w:t xml:space="preserve">institutional </w:t>
      </w:r>
      <w:r w:rsidR="003237F9">
        <w:rPr>
          <w:rFonts w:ascii="Times New Roman" w:hAnsi="Times New Roman"/>
          <w:sz w:val="24"/>
          <w:szCs w:val="24"/>
        </w:rPr>
        <w:t xml:space="preserve">Action Plan for Promotion of Non-discrimination for </w:t>
      </w:r>
      <w:r w:rsidR="00C3315D" w:rsidRPr="00A75E02">
        <w:rPr>
          <w:rFonts w:ascii="Times New Roman" w:hAnsi="Times New Roman"/>
          <w:sz w:val="24"/>
        </w:rPr>
        <w:t>2011-</w:t>
      </w:r>
      <w:r w:rsidR="00263E37" w:rsidRPr="00A75E02">
        <w:rPr>
          <w:rFonts w:ascii="Times New Roman" w:hAnsi="Times New Roman"/>
          <w:sz w:val="24"/>
        </w:rPr>
        <w:t xml:space="preserve">2016. </w:t>
      </w:r>
      <w:proofErr w:type="gramStart"/>
      <w:r w:rsidR="00263E37" w:rsidRPr="00A75E02">
        <w:rPr>
          <w:rFonts w:ascii="Times New Roman" w:hAnsi="Times New Roman"/>
          <w:sz w:val="24"/>
        </w:rPr>
        <w:t xml:space="preserve">The implementation of the Plan in 2016 involved the organisation of training and educational events on the issues related to the integration into society and ensuring of equal opportunities, the initiation of activities targeted at encouraging the representatives of national minorities to get a foothold in the labour market and intercultural understanding and giving real meaning to cultural heritage of national minorities and immigrants, </w:t>
      </w:r>
      <w:r w:rsidR="00263E37" w:rsidRPr="00A75E02">
        <w:rPr>
          <w:rFonts w:ascii="Times New Roman" w:hAnsi="Times New Roman"/>
          <w:sz w:val="24"/>
        </w:rPr>
        <w:lastRenderedPageBreak/>
        <w:t>creation and demonstration of non-discrimination related social advertisements in public transport as well as other activities.</w:t>
      </w:r>
      <w:proofErr w:type="gramEnd"/>
    </w:p>
    <w:p w14:paraId="74B59C64" w14:textId="65267E81" w:rsidR="00737886" w:rsidRPr="00A75E02" w:rsidRDefault="001515BD" w:rsidP="004A58A0">
      <w:pPr>
        <w:spacing w:before="100" w:beforeAutospacing="1" w:after="100" w:afterAutospacing="1" w:line="240" w:lineRule="auto"/>
        <w:jc w:val="both"/>
      </w:pPr>
      <w:proofErr w:type="gramStart"/>
      <w:r>
        <w:rPr>
          <w:rFonts w:ascii="Times New Roman" w:hAnsi="Times New Roman"/>
          <w:sz w:val="24"/>
        </w:rPr>
        <w:t>90</w:t>
      </w:r>
      <w:r w:rsidR="00263E37" w:rsidRPr="00A75E02">
        <w:rPr>
          <w:rFonts w:ascii="Times New Roman" w:hAnsi="Times New Roman"/>
          <w:sz w:val="24"/>
        </w:rPr>
        <w:t xml:space="preserve">. From </w:t>
      </w:r>
      <w:r w:rsidR="00C3315D" w:rsidRPr="00A75E02">
        <w:rPr>
          <w:rFonts w:ascii="Times New Roman" w:hAnsi="Times New Roman"/>
          <w:sz w:val="24"/>
        </w:rPr>
        <w:t>January to November of 2017 the</w:t>
      </w:r>
      <w:r w:rsidR="00263E37" w:rsidRPr="00A75E02">
        <w:rPr>
          <w:rFonts w:ascii="Times New Roman" w:hAnsi="Times New Roman"/>
          <w:sz w:val="24"/>
        </w:rPr>
        <w:t xml:space="preserve"> L</w:t>
      </w:r>
      <w:r w:rsidR="00C3315D" w:rsidRPr="00A75E02">
        <w:rPr>
          <w:rFonts w:ascii="Times New Roman" w:hAnsi="Times New Roman"/>
          <w:sz w:val="24"/>
        </w:rPr>
        <w:t>ithuanian Labour Exchange under</w:t>
      </w:r>
      <w:r w:rsidR="00263E37" w:rsidRPr="00A75E02">
        <w:rPr>
          <w:rFonts w:ascii="Times New Roman" w:hAnsi="Times New Roman"/>
          <w:sz w:val="24"/>
        </w:rPr>
        <w:t xml:space="preserve"> the Ministry of Social Security and Labour has registered 373 unemployed persons of Roma nationality (177 of them were</w:t>
      </w:r>
      <w:r w:rsidR="00AD209F">
        <w:rPr>
          <w:rFonts w:ascii="Times New Roman" w:hAnsi="Times New Roman"/>
          <w:sz w:val="24"/>
        </w:rPr>
        <w:t xml:space="preserve"> women), 76 persons as employed</w:t>
      </w:r>
      <w:r w:rsidR="00263E37" w:rsidRPr="00A75E02">
        <w:rPr>
          <w:rFonts w:ascii="Times New Roman" w:hAnsi="Times New Roman"/>
          <w:sz w:val="24"/>
        </w:rPr>
        <w:t xml:space="preserve"> (30 of them were women), 11 persons as participating in active labour market policy measures (9 undertook public work, 2 were employed providing subsidies), 7 persons as pursuing activity under a business licenc</w:t>
      </w:r>
      <w:r w:rsidR="00C3315D" w:rsidRPr="00A75E02">
        <w:rPr>
          <w:rFonts w:ascii="Times New Roman" w:hAnsi="Times New Roman"/>
          <w:sz w:val="24"/>
        </w:rPr>
        <w:t>e.</w:t>
      </w:r>
      <w:proofErr w:type="gramEnd"/>
      <w:r w:rsidR="00C3315D" w:rsidRPr="00A75E02">
        <w:rPr>
          <w:rFonts w:ascii="Times New Roman" w:hAnsi="Times New Roman"/>
          <w:sz w:val="24"/>
        </w:rPr>
        <w:t xml:space="preserve"> According to the data of the</w:t>
      </w:r>
      <w:r w:rsidR="00263E37" w:rsidRPr="00A75E02">
        <w:rPr>
          <w:rFonts w:ascii="Times New Roman" w:hAnsi="Times New Roman"/>
          <w:sz w:val="24"/>
        </w:rPr>
        <w:t xml:space="preserve"> Lithuanian Labour Exchange of 1 December 2017, 321 unemployed person (191 of them were women) of Roma nationality was registered.</w:t>
      </w:r>
    </w:p>
    <w:p w14:paraId="763D93B3" w14:textId="1AAE50F7" w:rsidR="001E757A" w:rsidRPr="00A75E02" w:rsidRDefault="001515BD" w:rsidP="00742FA3">
      <w:pPr>
        <w:pStyle w:val="Pagrindiniotekstotrauka31"/>
        <w:spacing w:before="100" w:beforeAutospacing="1" w:after="100" w:afterAutospacing="1" w:line="240" w:lineRule="auto"/>
        <w:ind w:firstLine="0"/>
        <w:rPr>
          <w:szCs w:val="24"/>
        </w:rPr>
      </w:pPr>
      <w:r>
        <w:t>91</w:t>
      </w:r>
      <w:r w:rsidR="001C2D70" w:rsidRPr="00A75E02">
        <w:t>. The Council of National Communities (hereinafter referred to as the Council)</w:t>
      </w:r>
      <w:r w:rsidR="003556B1">
        <w:t>,</w:t>
      </w:r>
      <w:r w:rsidR="001C2D70" w:rsidRPr="00A75E02">
        <w:t xml:space="preserve"> composed of the representatives of national communities</w:t>
      </w:r>
      <w:r w:rsidR="003556B1">
        <w:t>,</w:t>
      </w:r>
      <w:r w:rsidR="001C2D70" w:rsidRPr="00A75E02">
        <w:t xml:space="preserve"> acts under the National Minorities Department. The Council represents national </w:t>
      </w:r>
      <w:r w:rsidR="00C97354" w:rsidRPr="00A75E02">
        <w:t xml:space="preserve">communities </w:t>
      </w:r>
      <w:r w:rsidR="001C2D70" w:rsidRPr="00A75E02">
        <w:t>on the issues of coordination of the Lithuanian national minority policies. By involving the representatives of national minorities into the decision-making processes, the Council acts in accordance with the principles of international law, the Constitution of the Republic of Lithuania, laws of the Republic of Lithuania, other legal acts and Regulations of the Council of National Communities. The application of the principle of vertical communicati</w:t>
      </w:r>
      <w:r w:rsidR="00C97354">
        <w:t>on with the society is ensured:</w:t>
      </w:r>
      <w:r w:rsidR="001C2D70" w:rsidRPr="00A75E02">
        <w:t xml:space="preserve"> non-governmental organisations uniting different national minorities are given the opportunity to take part directly in the </w:t>
      </w:r>
      <w:proofErr w:type="gramStart"/>
      <w:r w:rsidR="001C2D70" w:rsidRPr="00A75E02">
        <w:t>policy</w:t>
      </w:r>
      <w:r w:rsidR="006B3829">
        <w:t>-</w:t>
      </w:r>
      <w:r w:rsidR="001C2D70" w:rsidRPr="00A75E02">
        <w:t>shaping</w:t>
      </w:r>
      <w:proofErr w:type="gramEnd"/>
      <w:r w:rsidR="001C2D70" w:rsidRPr="00A75E02">
        <w:t xml:space="preserve"> of national minorities.</w:t>
      </w:r>
      <w:r w:rsidR="001601D9">
        <w:t xml:space="preserve"> </w:t>
      </w:r>
    </w:p>
    <w:p w14:paraId="33581F1B" w14:textId="255D2335" w:rsidR="001E757A" w:rsidRPr="00A75E02" w:rsidRDefault="001515BD" w:rsidP="00742FA3">
      <w:pPr>
        <w:pStyle w:val="Pagrindiniotekstotrauka31"/>
        <w:spacing w:before="100" w:beforeAutospacing="1" w:after="100" w:afterAutospacing="1" w:line="240" w:lineRule="auto"/>
        <w:ind w:firstLine="0"/>
        <w:rPr>
          <w:szCs w:val="24"/>
        </w:rPr>
      </w:pPr>
      <w:r>
        <w:t>92</w:t>
      </w:r>
      <w:r w:rsidR="001C2D70" w:rsidRPr="00A75E02">
        <w:t>. The NMD implements measures under the Inter</w:t>
      </w:r>
      <w:r w:rsidR="0097226A">
        <w:t>-</w:t>
      </w:r>
      <w:r w:rsidR="001C2D70" w:rsidRPr="00A75E02">
        <w:t xml:space="preserve">institutional </w:t>
      </w:r>
      <w:r w:rsidR="003237F9" w:rsidRPr="003237F9">
        <w:t>Action Plan for</w:t>
      </w:r>
      <w:r w:rsidR="003237F9">
        <w:t xml:space="preserve"> </w:t>
      </w:r>
      <w:r w:rsidR="003237F9" w:rsidRPr="003237F9">
        <w:t xml:space="preserve">Promotion of </w:t>
      </w:r>
      <w:r w:rsidR="003237F9">
        <w:t xml:space="preserve">Non-discrimination for </w:t>
      </w:r>
      <w:r w:rsidR="00BB5029">
        <w:t>2015</w:t>
      </w:r>
      <w:r w:rsidR="00C3315D" w:rsidRPr="00A75E02">
        <w:t>-</w:t>
      </w:r>
      <w:r w:rsidR="00BB5029">
        <w:t>2017</w:t>
      </w:r>
      <w:r w:rsidR="001C2D70" w:rsidRPr="00A75E02">
        <w:t xml:space="preserve">. </w:t>
      </w:r>
    </w:p>
    <w:p w14:paraId="56AE29FF" w14:textId="44306C2B" w:rsidR="001E757A" w:rsidRPr="00A75E02" w:rsidRDefault="001515BD" w:rsidP="00742FA3">
      <w:pPr>
        <w:pStyle w:val="Pagrindiniotekstotrauka31"/>
        <w:spacing w:before="100" w:beforeAutospacing="1" w:after="100" w:afterAutospacing="1" w:line="240" w:lineRule="auto"/>
        <w:ind w:firstLine="0"/>
        <w:rPr>
          <w:szCs w:val="24"/>
        </w:rPr>
      </w:pPr>
      <w:r>
        <w:t>93</w:t>
      </w:r>
      <w:r w:rsidR="001C2D70" w:rsidRPr="00A75E02">
        <w:t xml:space="preserve">. The </w:t>
      </w:r>
      <w:r w:rsidR="00C3315D" w:rsidRPr="00A75E02">
        <w:t>competition for the nomination ‘For National Tolerance’</w:t>
      </w:r>
      <w:r w:rsidR="001A3C19">
        <w:t xml:space="preserve"> </w:t>
      </w:r>
      <w:proofErr w:type="gramStart"/>
      <w:r w:rsidR="001A3C19">
        <w:t>has been held</w:t>
      </w:r>
      <w:proofErr w:type="gramEnd"/>
      <w:r w:rsidR="001A3C19">
        <w:t xml:space="preserve"> by the NMD</w:t>
      </w:r>
      <w:r w:rsidR="001C2D70" w:rsidRPr="00A75E02">
        <w:t xml:space="preserve"> since 2007. </w:t>
      </w:r>
      <w:proofErr w:type="gramStart"/>
      <w:r w:rsidR="001C2D70" w:rsidRPr="00A75E02">
        <w:t xml:space="preserve">The </w:t>
      </w:r>
      <w:r w:rsidR="00E375FB">
        <w:t>purpose</w:t>
      </w:r>
      <w:r w:rsidR="00E375FB" w:rsidRPr="00A75E02">
        <w:t xml:space="preserve"> </w:t>
      </w:r>
      <w:r w:rsidR="001C2D70" w:rsidRPr="00A75E02">
        <w:t xml:space="preserve">of this competition </w:t>
      </w:r>
      <w:r w:rsidR="00E375FB">
        <w:t xml:space="preserve">is to award </w:t>
      </w:r>
      <w:r w:rsidR="001C2D70" w:rsidRPr="00A75E02">
        <w:t>journalists who published or broadcasted on the Lithuanian national and regional media</w:t>
      </w:r>
      <w:r w:rsidR="00D031AD">
        <w:t xml:space="preserve"> (press, radio, television</w:t>
      </w:r>
      <w:r w:rsidR="001C2D70" w:rsidRPr="00A75E02">
        <w:t xml:space="preserve"> and online media)</w:t>
      </w:r>
      <w:r w:rsidR="00E375FB">
        <w:t xml:space="preserve"> their works</w:t>
      </w:r>
      <w:r w:rsidR="001C2D70" w:rsidRPr="00A75E02">
        <w:t xml:space="preserve"> that shape positive image of national minorities, promote public awareness of culture and</w:t>
      </w:r>
      <w:r w:rsidR="00D031AD">
        <w:t xml:space="preserve"> history of national minorities and</w:t>
      </w:r>
      <w:r w:rsidR="001C2D70" w:rsidRPr="00A75E02">
        <w:t xml:space="preserve"> their contribution to the development of the State, </w:t>
      </w:r>
      <w:r w:rsidR="00D031AD">
        <w:t xml:space="preserve">as well as promote </w:t>
      </w:r>
      <w:r w:rsidR="001C2D70" w:rsidRPr="00A75E02">
        <w:t>tolerance and fight against national and racial discrimination.</w:t>
      </w:r>
      <w:proofErr w:type="gramEnd"/>
    </w:p>
    <w:p w14:paraId="728DF7A5" w14:textId="69C12716" w:rsidR="001E757A" w:rsidRPr="00A75E02" w:rsidRDefault="001515BD" w:rsidP="00742FA3">
      <w:pPr>
        <w:tabs>
          <w:tab w:val="left" w:pos="284"/>
          <w:tab w:val="left" w:pos="993"/>
        </w:tabs>
        <w:spacing w:before="100" w:beforeAutospacing="1" w:after="100" w:afterAutospacing="1" w:line="240" w:lineRule="auto"/>
        <w:jc w:val="both"/>
        <w:rPr>
          <w:rFonts w:ascii="Times New Roman" w:eastAsia="Times New Roman" w:hAnsi="Times New Roman" w:cs="Times New Roman"/>
          <w:bCs/>
          <w:sz w:val="24"/>
          <w:szCs w:val="24"/>
        </w:rPr>
      </w:pPr>
      <w:proofErr w:type="gramStart"/>
      <w:r>
        <w:rPr>
          <w:rFonts w:ascii="Times New Roman" w:hAnsi="Times New Roman"/>
          <w:bCs/>
          <w:sz w:val="24"/>
          <w:szCs w:val="24"/>
        </w:rPr>
        <w:t>94</w:t>
      </w:r>
      <w:r w:rsidR="00C3315D" w:rsidRPr="00A75E02">
        <w:rPr>
          <w:rFonts w:ascii="Times New Roman" w:hAnsi="Times New Roman"/>
          <w:bCs/>
          <w:sz w:val="24"/>
          <w:szCs w:val="24"/>
        </w:rPr>
        <w:t>. In 2016</w:t>
      </w:r>
      <w:proofErr w:type="gramEnd"/>
      <w:r w:rsidR="00C3315D" w:rsidRPr="00A75E02">
        <w:rPr>
          <w:rFonts w:ascii="Times New Roman" w:hAnsi="Times New Roman"/>
          <w:bCs/>
          <w:sz w:val="24"/>
          <w:szCs w:val="24"/>
        </w:rPr>
        <w:t xml:space="preserve"> the NMD </w:t>
      </w:r>
      <w:r w:rsidR="001C2D70" w:rsidRPr="00A75E02">
        <w:rPr>
          <w:rFonts w:ascii="Times New Roman" w:hAnsi="Times New Roman"/>
          <w:bCs/>
          <w:sz w:val="24"/>
          <w:szCs w:val="24"/>
        </w:rPr>
        <w:t>published the following publications: ‘National communities in Lithuania: figures, facts, activitie</w:t>
      </w:r>
      <w:r w:rsidR="00C3315D" w:rsidRPr="00A75E02">
        <w:rPr>
          <w:rFonts w:ascii="Times New Roman" w:hAnsi="Times New Roman"/>
          <w:bCs/>
          <w:sz w:val="24"/>
          <w:szCs w:val="24"/>
        </w:rPr>
        <w:t xml:space="preserve">s’ and ‘Roma in Lithuania: </w:t>
      </w:r>
      <w:r w:rsidR="001C2D70" w:rsidRPr="00A75E02">
        <w:rPr>
          <w:rFonts w:ascii="Times New Roman" w:hAnsi="Times New Roman"/>
          <w:bCs/>
          <w:sz w:val="24"/>
          <w:szCs w:val="24"/>
        </w:rPr>
        <w:t xml:space="preserve">figures, </w:t>
      </w:r>
      <w:r w:rsidR="00A04764">
        <w:rPr>
          <w:rFonts w:ascii="Times New Roman" w:hAnsi="Times New Roman"/>
          <w:bCs/>
          <w:sz w:val="24"/>
          <w:szCs w:val="24"/>
        </w:rPr>
        <w:t>facts, activities’ that provide</w:t>
      </w:r>
      <w:r w:rsidR="001C2D70" w:rsidRPr="00A75E02">
        <w:rPr>
          <w:rFonts w:ascii="Times New Roman" w:hAnsi="Times New Roman"/>
          <w:bCs/>
          <w:sz w:val="24"/>
          <w:szCs w:val="24"/>
        </w:rPr>
        <w:t xml:space="preserve"> historical and statistical summary information focusi</w:t>
      </w:r>
      <w:r w:rsidR="00C3315D" w:rsidRPr="00A75E02">
        <w:rPr>
          <w:rFonts w:ascii="Times New Roman" w:hAnsi="Times New Roman"/>
          <w:bCs/>
          <w:sz w:val="24"/>
          <w:szCs w:val="24"/>
        </w:rPr>
        <w:t xml:space="preserve">ng on Roma national minority. </w:t>
      </w:r>
      <w:r w:rsidR="00D40E7F">
        <w:rPr>
          <w:rFonts w:ascii="Times New Roman" w:hAnsi="Times New Roman"/>
          <w:bCs/>
          <w:sz w:val="24"/>
          <w:szCs w:val="24"/>
        </w:rPr>
        <w:t xml:space="preserve">In </w:t>
      </w:r>
      <w:proofErr w:type="gramStart"/>
      <w:r w:rsidR="00D40E7F">
        <w:rPr>
          <w:rFonts w:ascii="Times New Roman" w:hAnsi="Times New Roman"/>
          <w:bCs/>
          <w:sz w:val="24"/>
          <w:szCs w:val="24"/>
        </w:rPr>
        <w:t>2017</w:t>
      </w:r>
      <w:proofErr w:type="gramEnd"/>
      <w:r w:rsidR="00D40E7F">
        <w:rPr>
          <w:rFonts w:ascii="Times New Roman" w:hAnsi="Times New Roman"/>
          <w:bCs/>
          <w:sz w:val="24"/>
          <w:szCs w:val="24"/>
        </w:rPr>
        <w:t xml:space="preserve"> the NMD</w:t>
      </w:r>
      <w:r w:rsidR="001C2D70" w:rsidRPr="00A75E02">
        <w:rPr>
          <w:rFonts w:ascii="Times New Roman" w:hAnsi="Times New Roman"/>
          <w:bCs/>
          <w:sz w:val="24"/>
          <w:szCs w:val="24"/>
        </w:rPr>
        <w:t xml:space="preserve"> published an information leaflet about Polish national minority in Lithuania. In addition, it publishes quarterly newsletter ‘News of national communities’. This newsletter </w:t>
      </w:r>
      <w:proofErr w:type="gramStart"/>
      <w:r w:rsidR="001C2D70" w:rsidRPr="00A75E02">
        <w:rPr>
          <w:rFonts w:ascii="Times New Roman" w:hAnsi="Times New Roman"/>
          <w:bCs/>
          <w:sz w:val="24"/>
          <w:szCs w:val="24"/>
        </w:rPr>
        <w:t>is being published</w:t>
      </w:r>
      <w:proofErr w:type="gramEnd"/>
      <w:r w:rsidR="001C2D70" w:rsidRPr="00A75E02">
        <w:rPr>
          <w:rFonts w:ascii="Times New Roman" w:hAnsi="Times New Roman"/>
          <w:bCs/>
          <w:sz w:val="24"/>
          <w:szCs w:val="24"/>
        </w:rPr>
        <w:t xml:space="preserve"> since 2001.</w:t>
      </w:r>
    </w:p>
    <w:p w14:paraId="4B62773E" w14:textId="317BCAE3" w:rsidR="001E757A" w:rsidRPr="00A75E02" w:rsidRDefault="001515BD" w:rsidP="00742FA3">
      <w:pPr>
        <w:pStyle w:val="Pagrindiniotekstotrauka31"/>
        <w:spacing w:before="100" w:beforeAutospacing="1" w:after="100" w:afterAutospacing="1" w:line="240" w:lineRule="auto"/>
        <w:ind w:firstLine="0"/>
        <w:rPr>
          <w:szCs w:val="24"/>
        </w:rPr>
      </w:pPr>
      <w:r>
        <w:t>95</w:t>
      </w:r>
      <w:r w:rsidR="001C2D70" w:rsidRPr="00A75E02">
        <w:t xml:space="preserve">. On 12-13 October 2017 the </w:t>
      </w:r>
      <w:r w:rsidR="00DF0359">
        <w:t>NMD</w:t>
      </w:r>
      <w:r w:rsidR="001C2D70" w:rsidRPr="00A75E02">
        <w:t xml:space="preserve"> organised a seminar ‘Intercultural education and historic memory in the eve of the centenary of the restoration of the State of Lithuania’ for teachers of Sunday schools of Polish, Russian, German, Roma, Azerbaijani, Tartars, Belarus, Ukrainian, Jewish and Armenian national minorities from Vilnius, Kaunas, </w:t>
      </w:r>
      <w:proofErr w:type="spellStart"/>
      <w:r w:rsidR="001C2D70" w:rsidRPr="00A75E02">
        <w:t>Klaipėda</w:t>
      </w:r>
      <w:proofErr w:type="spellEnd"/>
      <w:r w:rsidR="001C2D70" w:rsidRPr="00A75E02">
        <w:t xml:space="preserve">, </w:t>
      </w:r>
      <w:proofErr w:type="spellStart"/>
      <w:r w:rsidR="001C2D70" w:rsidRPr="00A75E02">
        <w:t>Panevėžys</w:t>
      </w:r>
      <w:proofErr w:type="spellEnd"/>
      <w:r w:rsidR="001C2D70" w:rsidRPr="00A75E02">
        <w:t xml:space="preserve">, Alytus, </w:t>
      </w:r>
      <w:proofErr w:type="spellStart"/>
      <w:r w:rsidR="001C2D70" w:rsidRPr="00A75E02">
        <w:t>Druskininkai</w:t>
      </w:r>
      <w:proofErr w:type="spellEnd"/>
      <w:r w:rsidR="001C2D70" w:rsidRPr="00A75E02">
        <w:t xml:space="preserve"> and </w:t>
      </w:r>
      <w:proofErr w:type="spellStart"/>
      <w:r w:rsidR="001C2D70" w:rsidRPr="00A75E02">
        <w:t>Visaginas</w:t>
      </w:r>
      <w:proofErr w:type="spellEnd"/>
      <w:r w:rsidR="001C2D70" w:rsidRPr="00A75E02">
        <w:t xml:space="preserve">. During the </w:t>
      </w:r>
      <w:r w:rsidR="00C71A67" w:rsidRPr="00A75E02">
        <w:t>seminar,</w:t>
      </w:r>
      <w:r w:rsidR="001C2D70" w:rsidRPr="00A75E02">
        <w:t xml:space="preserve"> the national minority specialists of non-formal education </w:t>
      </w:r>
      <w:proofErr w:type="gramStart"/>
      <w:r w:rsidR="001C2D70" w:rsidRPr="00A75E02">
        <w:t xml:space="preserve">were </w:t>
      </w:r>
      <w:r w:rsidR="006B3829">
        <w:t>provided</w:t>
      </w:r>
      <w:proofErr w:type="gramEnd"/>
      <w:r w:rsidR="006B3829">
        <w:t xml:space="preserve"> with information</w:t>
      </w:r>
      <w:r w:rsidR="001C2D70" w:rsidRPr="00A75E02">
        <w:t xml:space="preserve"> on national historic memory, links between history and culture, presentation of historic information in pictorial form and project on secondary schools of southeast Lithuania was presented.</w:t>
      </w:r>
    </w:p>
    <w:p w14:paraId="1B855A92" w14:textId="6B508FE3" w:rsidR="001E757A" w:rsidRPr="00A75E02" w:rsidRDefault="001515BD" w:rsidP="00742FA3">
      <w:pPr>
        <w:pStyle w:val="Pagrindiniotekstotrauka31"/>
        <w:spacing w:before="100" w:beforeAutospacing="1" w:after="100" w:afterAutospacing="1" w:line="240" w:lineRule="auto"/>
        <w:ind w:firstLine="0"/>
        <w:rPr>
          <w:szCs w:val="24"/>
        </w:rPr>
      </w:pPr>
      <w:r>
        <w:t>96</w:t>
      </w:r>
      <w:r w:rsidR="001C2D70" w:rsidRPr="00A75E02">
        <w:t xml:space="preserve">. The </w:t>
      </w:r>
      <w:r w:rsidR="00076D91">
        <w:t>NMD</w:t>
      </w:r>
      <w:r w:rsidR="001C2D70" w:rsidRPr="00A75E02">
        <w:t>, taking into account the study on the situation of persons belonging to national minorities residing in Lithuania and recommendations prepared on the basis of it, has initiated the project ‘</w:t>
      </w:r>
      <w:r w:rsidR="006B3829">
        <w:t>Integration</w:t>
      </w:r>
      <w:r w:rsidR="001C2D70" w:rsidRPr="00A75E02">
        <w:t xml:space="preserve"> of representatives of national minorities into the labour market’ in 2016. The </w:t>
      </w:r>
      <w:r w:rsidR="001C2D70" w:rsidRPr="00A75E02">
        <w:lastRenderedPageBreak/>
        <w:t>main goal of the project i</w:t>
      </w:r>
      <w:r w:rsidR="00122719" w:rsidRPr="00A75E02">
        <w:t>s to promote the integration of</w:t>
      </w:r>
      <w:r w:rsidR="001C2D70" w:rsidRPr="00A75E02">
        <w:t xml:space="preserve"> representatives of national minorities into the labour market and society.</w:t>
      </w:r>
    </w:p>
    <w:p w14:paraId="65F04CBB" w14:textId="77777777" w:rsidR="007632EC" w:rsidRPr="00A75E02" w:rsidRDefault="007632EC"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 xml:space="preserve">Spelling of names and surnames in personal identity documents </w:t>
      </w:r>
    </w:p>
    <w:p w14:paraId="4EBC9CE4" w14:textId="5FCB22B8" w:rsidR="007632EC" w:rsidRPr="00A75E02" w:rsidRDefault="001515B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97</w:t>
      </w:r>
      <w:r w:rsidR="001C2D70" w:rsidRPr="00A75E02">
        <w:rPr>
          <w:rFonts w:ascii="Times New Roman" w:hAnsi="Times New Roman"/>
          <w:sz w:val="24"/>
          <w:szCs w:val="24"/>
        </w:rPr>
        <w:t>. By its decision of 27 February 2014, the Constitutional Court of the Republic of Lithuania construed that, by following the requirements stemming from the Constitution</w:t>
      </w:r>
      <w:r w:rsidR="00704931">
        <w:rPr>
          <w:rFonts w:ascii="Times New Roman" w:hAnsi="Times New Roman"/>
          <w:sz w:val="24"/>
          <w:szCs w:val="24"/>
        </w:rPr>
        <w:t>,</w:t>
      </w:r>
      <w:r w:rsidR="001601D9">
        <w:rPr>
          <w:rFonts w:ascii="Times New Roman" w:hAnsi="Times New Roman"/>
          <w:sz w:val="24"/>
          <w:szCs w:val="24"/>
        </w:rPr>
        <w:t xml:space="preserve"> </w:t>
      </w:r>
      <w:r w:rsidR="001C2D70" w:rsidRPr="00A75E02">
        <w:rPr>
          <w:rFonts w:ascii="Times New Roman" w:hAnsi="Times New Roman"/>
          <w:sz w:val="24"/>
          <w:szCs w:val="24"/>
        </w:rPr>
        <w:t xml:space="preserve">it is also possible to establish, by law, </w:t>
      </w:r>
      <w:proofErr w:type="gramStart"/>
      <w:r w:rsidR="001C2D70" w:rsidRPr="00A75E02">
        <w:rPr>
          <w:rFonts w:ascii="Times New Roman" w:hAnsi="Times New Roman"/>
          <w:sz w:val="24"/>
          <w:szCs w:val="24"/>
        </w:rPr>
        <w:t>the</w:t>
      </w:r>
      <w:proofErr w:type="gramEnd"/>
      <w:r w:rsidR="001C2D70" w:rsidRPr="00A75E02">
        <w:rPr>
          <w:rFonts w:ascii="Times New Roman" w:hAnsi="Times New Roman"/>
          <w:sz w:val="24"/>
          <w:szCs w:val="24"/>
        </w:rPr>
        <w:t xml:space="preserve"> rules other than those set in </w:t>
      </w:r>
      <w:r w:rsidR="00E661FB">
        <w:rPr>
          <w:rFonts w:ascii="Times New Roman" w:hAnsi="Times New Roman"/>
          <w:sz w:val="24"/>
          <w:szCs w:val="24"/>
        </w:rPr>
        <w:t>the applicable legal regulation</w:t>
      </w:r>
      <w:r w:rsidR="001C2D70" w:rsidRPr="00A75E02">
        <w:rPr>
          <w:rFonts w:ascii="Times New Roman" w:hAnsi="Times New Roman"/>
          <w:sz w:val="24"/>
          <w:szCs w:val="24"/>
        </w:rPr>
        <w:t xml:space="preserve"> for </w:t>
      </w:r>
      <w:r w:rsidR="00E661FB">
        <w:rPr>
          <w:rFonts w:ascii="Times New Roman" w:hAnsi="Times New Roman"/>
          <w:sz w:val="24"/>
          <w:szCs w:val="24"/>
        </w:rPr>
        <w:t>spelling</w:t>
      </w:r>
      <w:r w:rsidR="001C2D70" w:rsidRPr="00A75E02">
        <w:rPr>
          <w:rFonts w:ascii="Times New Roman" w:hAnsi="Times New Roman"/>
          <w:sz w:val="24"/>
          <w:szCs w:val="24"/>
        </w:rPr>
        <w:t xml:space="preserve"> name and family name in the passport of a citizen</w:t>
      </w:r>
      <w:r w:rsidR="00281D51">
        <w:rPr>
          <w:rFonts w:ascii="Times New Roman" w:hAnsi="Times New Roman"/>
          <w:sz w:val="24"/>
          <w:szCs w:val="24"/>
        </w:rPr>
        <w:t>. I</w:t>
      </w:r>
      <w:r w:rsidR="001C2D70" w:rsidRPr="00A75E02">
        <w:rPr>
          <w:rFonts w:ascii="Times New Roman" w:hAnsi="Times New Roman"/>
          <w:sz w:val="24"/>
          <w:szCs w:val="24"/>
        </w:rPr>
        <w:t>n the cases where the amendment of these rules</w:t>
      </w:r>
      <w:r w:rsidR="00281D51">
        <w:rPr>
          <w:rFonts w:ascii="Times New Roman" w:hAnsi="Times New Roman"/>
          <w:sz w:val="24"/>
          <w:szCs w:val="24"/>
        </w:rPr>
        <w:t xml:space="preserve"> is</w:t>
      </w:r>
      <w:r w:rsidR="001C2D70" w:rsidRPr="00A75E02">
        <w:rPr>
          <w:rFonts w:ascii="Times New Roman" w:hAnsi="Times New Roman"/>
          <w:sz w:val="24"/>
          <w:szCs w:val="24"/>
        </w:rPr>
        <w:t xml:space="preserve"> in line with law</w:t>
      </w:r>
      <w:r w:rsidR="00086B62">
        <w:rPr>
          <w:rFonts w:ascii="Times New Roman" w:hAnsi="Times New Roman"/>
          <w:sz w:val="24"/>
          <w:szCs w:val="24"/>
        </w:rPr>
        <w:t>s</w:t>
      </w:r>
      <w:r w:rsidR="001C2D70" w:rsidRPr="00A75E02">
        <w:rPr>
          <w:rFonts w:ascii="Times New Roman" w:hAnsi="Times New Roman"/>
          <w:sz w:val="24"/>
          <w:szCs w:val="24"/>
        </w:rPr>
        <w:t xml:space="preserve"> of the Republic of Lithuania</w:t>
      </w:r>
      <w:r w:rsidR="00281D51">
        <w:rPr>
          <w:rFonts w:ascii="Times New Roman" w:hAnsi="Times New Roman"/>
          <w:sz w:val="24"/>
          <w:szCs w:val="24"/>
        </w:rPr>
        <w:t>,</w:t>
      </w:r>
      <w:r w:rsidR="001C2D70" w:rsidRPr="00A75E02">
        <w:rPr>
          <w:rFonts w:ascii="Times New Roman" w:hAnsi="Times New Roman"/>
          <w:sz w:val="24"/>
          <w:szCs w:val="24"/>
        </w:rPr>
        <w:t xml:space="preserve"> </w:t>
      </w:r>
      <w:r w:rsidR="00281D51">
        <w:rPr>
          <w:rFonts w:ascii="Times New Roman" w:hAnsi="Times New Roman"/>
          <w:sz w:val="24"/>
          <w:szCs w:val="24"/>
        </w:rPr>
        <w:t xml:space="preserve">the rules </w:t>
      </w:r>
      <w:proofErr w:type="gramStart"/>
      <w:r w:rsidR="00281D51">
        <w:rPr>
          <w:rFonts w:ascii="Times New Roman" w:hAnsi="Times New Roman"/>
          <w:sz w:val="24"/>
          <w:szCs w:val="24"/>
        </w:rPr>
        <w:t>should be</w:t>
      </w:r>
      <w:r w:rsidR="001C2D70" w:rsidRPr="00A75E02">
        <w:rPr>
          <w:rFonts w:ascii="Times New Roman" w:hAnsi="Times New Roman"/>
          <w:sz w:val="24"/>
          <w:szCs w:val="24"/>
        </w:rPr>
        <w:t xml:space="preserve"> proposed</w:t>
      </w:r>
      <w:proofErr w:type="gramEnd"/>
      <w:r w:rsidR="001C2D70" w:rsidRPr="00A75E02">
        <w:rPr>
          <w:rFonts w:ascii="Times New Roman" w:hAnsi="Times New Roman"/>
          <w:sz w:val="24"/>
          <w:szCs w:val="24"/>
        </w:rPr>
        <w:t xml:space="preserve"> by the state institution</w:t>
      </w:r>
      <w:r w:rsidR="00281D51">
        <w:rPr>
          <w:rFonts w:ascii="Times New Roman" w:hAnsi="Times New Roman"/>
          <w:sz w:val="24"/>
          <w:szCs w:val="24"/>
        </w:rPr>
        <w:t>, consisting</w:t>
      </w:r>
      <w:r w:rsidR="001C2D70" w:rsidRPr="00A75E02">
        <w:rPr>
          <w:rFonts w:ascii="Times New Roman" w:hAnsi="Times New Roman"/>
          <w:sz w:val="24"/>
          <w:szCs w:val="24"/>
        </w:rPr>
        <w:t xml:space="preserve"> of professional language specialists, which has the powers to take care of the protection of the state language.</w:t>
      </w:r>
    </w:p>
    <w:p w14:paraId="34DBB371" w14:textId="05ABB393" w:rsidR="007632EC" w:rsidRPr="00A75E02" w:rsidRDefault="001515B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98</w:t>
      </w:r>
      <w:r w:rsidR="001C2D70" w:rsidRPr="00A75E02">
        <w:rPr>
          <w:rFonts w:ascii="Times New Roman" w:hAnsi="Times New Roman"/>
          <w:sz w:val="24"/>
          <w:szCs w:val="24"/>
        </w:rPr>
        <w:t xml:space="preserve">. In 2014 alternative draft laws regulating the </w:t>
      </w:r>
      <w:r w:rsidR="006F7CE7">
        <w:rPr>
          <w:rFonts w:ascii="Times New Roman" w:hAnsi="Times New Roman"/>
          <w:sz w:val="24"/>
          <w:szCs w:val="24"/>
        </w:rPr>
        <w:t>spelling</w:t>
      </w:r>
      <w:r w:rsidR="001C2D70" w:rsidRPr="00A75E02">
        <w:rPr>
          <w:rFonts w:ascii="Times New Roman" w:hAnsi="Times New Roman"/>
          <w:sz w:val="24"/>
          <w:szCs w:val="24"/>
        </w:rPr>
        <w:t xml:space="preserve"> </w:t>
      </w:r>
      <w:r w:rsidR="000B0FE1">
        <w:rPr>
          <w:rFonts w:ascii="Times New Roman" w:hAnsi="Times New Roman"/>
          <w:sz w:val="24"/>
          <w:szCs w:val="24"/>
        </w:rPr>
        <w:t xml:space="preserve">of </w:t>
      </w:r>
      <w:r w:rsidR="001C2D70" w:rsidRPr="00A75E02">
        <w:rPr>
          <w:rFonts w:ascii="Times New Roman" w:hAnsi="Times New Roman"/>
          <w:sz w:val="24"/>
          <w:szCs w:val="24"/>
        </w:rPr>
        <w:t xml:space="preserve">names and family names in documents </w:t>
      </w:r>
      <w:proofErr w:type="gramStart"/>
      <w:r w:rsidR="001C2D70" w:rsidRPr="00A75E02">
        <w:rPr>
          <w:rFonts w:ascii="Times New Roman" w:hAnsi="Times New Roman"/>
          <w:sz w:val="24"/>
          <w:szCs w:val="24"/>
        </w:rPr>
        <w:t>were registered</w:t>
      </w:r>
      <w:proofErr w:type="gramEnd"/>
      <w:r w:rsidR="001C2D70" w:rsidRPr="00A75E02">
        <w:rPr>
          <w:rFonts w:ascii="Times New Roman" w:hAnsi="Times New Roman"/>
          <w:sz w:val="24"/>
          <w:szCs w:val="24"/>
        </w:rPr>
        <w:t xml:space="preserve"> in the </w:t>
      </w:r>
      <w:proofErr w:type="spellStart"/>
      <w:r w:rsidR="001C2D70" w:rsidRPr="00A75E02">
        <w:rPr>
          <w:rFonts w:ascii="Times New Roman" w:hAnsi="Times New Roman"/>
          <w:sz w:val="24"/>
          <w:szCs w:val="24"/>
        </w:rPr>
        <w:t>Seimas</w:t>
      </w:r>
      <w:proofErr w:type="spellEnd"/>
      <w:r w:rsidR="001C2D70" w:rsidRPr="00A75E02">
        <w:rPr>
          <w:rFonts w:ascii="Times New Roman" w:hAnsi="Times New Roman"/>
          <w:sz w:val="24"/>
          <w:szCs w:val="24"/>
        </w:rPr>
        <w:t xml:space="preserve"> of the Republic of Lithuania, however they were not adopted and did not come into force.</w:t>
      </w:r>
    </w:p>
    <w:p w14:paraId="6B7FBD01" w14:textId="13D933E3" w:rsidR="007632EC" w:rsidRPr="00A75E02" w:rsidRDefault="001515B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99</w:t>
      </w:r>
      <w:r w:rsidR="001C2D70" w:rsidRPr="00A75E02">
        <w:rPr>
          <w:rFonts w:ascii="Times New Roman" w:hAnsi="Times New Roman"/>
          <w:sz w:val="24"/>
          <w:szCs w:val="24"/>
        </w:rPr>
        <w:t xml:space="preserve">. In 2017 another two alternative draft laws regulating the </w:t>
      </w:r>
      <w:r w:rsidR="000B0FE1">
        <w:rPr>
          <w:rFonts w:ascii="Times New Roman" w:hAnsi="Times New Roman"/>
          <w:sz w:val="24"/>
          <w:szCs w:val="24"/>
        </w:rPr>
        <w:t>spelling</w:t>
      </w:r>
      <w:r w:rsidR="001C2D70" w:rsidRPr="00A75E02">
        <w:rPr>
          <w:rFonts w:ascii="Times New Roman" w:hAnsi="Times New Roman"/>
          <w:sz w:val="24"/>
          <w:szCs w:val="24"/>
        </w:rPr>
        <w:t xml:space="preserve"> </w:t>
      </w:r>
      <w:r w:rsidR="000B0FE1">
        <w:rPr>
          <w:rFonts w:ascii="Times New Roman" w:hAnsi="Times New Roman"/>
          <w:sz w:val="24"/>
          <w:szCs w:val="24"/>
        </w:rPr>
        <w:t xml:space="preserve">of </w:t>
      </w:r>
      <w:r w:rsidR="001C2D70" w:rsidRPr="00A75E02">
        <w:rPr>
          <w:rFonts w:ascii="Times New Roman" w:hAnsi="Times New Roman"/>
          <w:sz w:val="24"/>
          <w:szCs w:val="24"/>
        </w:rPr>
        <w:t xml:space="preserve">names and family names in documents </w:t>
      </w:r>
      <w:proofErr w:type="gramStart"/>
      <w:r w:rsidR="001C2D70" w:rsidRPr="00A75E02">
        <w:rPr>
          <w:rFonts w:ascii="Times New Roman" w:hAnsi="Times New Roman"/>
          <w:sz w:val="24"/>
          <w:szCs w:val="24"/>
        </w:rPr>
        <w:t>were registered</w:t>
      </w:r>
      <w:proofErr w:type="gramEnd"/>
      <w:r w:rsidR="001C2D70" w:rsidRPr="00A75E02">
        <w:rPr>
          <w:rFonts w:ascii="Times New Roman" w:hAnsi="Times New Roman"/>
          <w:sz w:val="24"/>
          <w:szCs w:val="24"/>
        </w:rPr>
        <w:t xml:space="preserve"> in the </w:t>
      </w:r>
      <w:proofErr w:type="spellStart"/>
      <w:r w:rsidR="001C2D70" w:rsidRPr="00A75E02">
        <w:rPr>
          <w:rFonts w:ascii="Times New Roman" w:hAnsi="Times New Roman"/>
          <w:sz w:val="24"/>
          <w:szCs w:val="24"/>
        </w:rPr>
        <w:t>Seimas</w:t>
      </w:r>
      <w:proofErr w:type="spellEnd"/>
      <w:r w:rsidR="001C2D70" w:rsidRPr="00A75E02">
        <w:rPr>
          <w:rFonts w:ascii="Times New Roman" w:hAnsi="Times New Roman"/>
          <w:sz w:val="24"/>
          <w:szCs w:val="24"/>
        </w:rPr>
        <w:t xml:space="preserve"> of the Republic of Lithuania. </w:t>
      </w:r>
      <w:proofErr w:type="gramStart"/>
      <w:r w:rsidR="001C2D70" w:rsidRPr="00A75E02">
        <w:rPr>
          <w:rFonts w:ascii="Times New Roman" w:hAnsi="Times New Roman"/>
          <w:sz w:val="24"/>
          <w:szCs w:val="24"/>
        </w:rPr>
        <w:t>One of them proposes to ensure the possibility of adding the names and family names of persons of non-Lithuanian nationality, foreigners who acquired the nationality of the Republic of Lithuania, Lithuanian citizens who married to a foreigner</w:t>
      </w:r>
      <w:r w:rsidR="001601D9">
        <w:rPr>
          <w:rFonts w:ascii="Times New Roman" w:hAnsi="Times New Roman"/>
          <w:sz w:val="24"/>
          <w:szCs w:val="24"/>
        </w:rPr>
        <w:t xml:space="preserve"> </w:t>
      </w:r>
      <w:r w:rsidR="001C2D70" w:rsidRPr="00A75E02">
        <w:rPr>
          <w:rFonts w:ascii="Times New Roman" w:hAnsi="Times New Roman"/>
          <w:sz w:val="24"/>
          <w:szCs w:val="24"/>
        </w:rPr>
        <w:t>and took his surname as well as names and surnames</w:t>
      </w:r>
      <w:r w:rsidR="001601D9">
        <w:rPr>
          <w:rFonts w:ascii="Times New Roman" w:hAnsi="Times New Roman"/>
          <w:sz w:val="24"/>
          <w:szCs w:val="24"/>
        </w:rPr>
        <w:t xml:space="preserve"> </w:t>
      </w:r>
      <w:r w:rsidR="001C2D70" w:rsidRPr="00A75E02">
        <w:rPr>
          <w:rFonts w:ascii="Times New Roman" w:hAnsi="Times New Roman"/>
          <w:sz w:val="24"/>
          <w:szCs w:val="24"/>
        </w:rPr>
        <w:t>of children of such spouses using non-Lithuanian Latin alphabet letters on the first page in ‘other entries’ section of the passport of the Republic of Lithuania or on the reverse side of an identity card at the request of a person.</w:t>
      </w:r>
      <w:proofErr w:type="gramEnd"/>
      <w:r w:rsidR="001C2D70" w:rsidRPr="00A75E02">
        <w:rPr>
          <w:rFonts w:ascii="Times New Roman" w:hAnsi="Times New Roman"/>
          <w:sz w:val="24"/>
          <w:szCs w:val="24"/>
        </w:rPr>
        <w:t xml:space="preserve"> </w:t>
      </w:r>
      <w:proofErr w:type="gramStart"/>
      <w:r w:rsidR="001C2D70" w:rsidRPr="00A75E02">
        <w:rPr>
          <w:rFonts w:ascii="Times New Roman" w:hAnsi="Times New Roman"/>
          <w:sz w:val="24"/>
          <w:szCs w:val="24"/>
        </w:rPr>
        <w:t xml:space="preserve">The second draft law proposes to establish that the name and surname of a citizen of the Republic of Lithuania shall be </w:t>
      </w:r>
      <w:r w:rsidR="00AF782A">
        <w:rPr>
          <w:rFonts w:ascii="Times New Roman" w:hAnsi="Times New Roman"/>
          <w:sz w:val="24"/>
          <w:szCs w:val="24"/>
        </w:rPr>
        <w:t>spelled</w:t>
      </w:r>
      <w:r w:rsidR="001C2D70" w:rsidRPr="00A75E02">
        <w:rPr>
          <w:rFonts w:ascii="Times New Roman" w:hAnsi="Times New Roman"/>
          <w:sz w:val="24"/>
          <w:szCs w:val="24"/>
        </w:rPr>
        <w:t xml:space="preserve"> using Latin alphabet letters and in line with the Rules on machine readable travel documents of the International Civil Aviation Organisation at the request of that person, if the name and surname are </w:t>
      </w:r>
      <w:r w:rsidR="00AF782A">
        <w:rPr>
          <w:rFonts w:ascii="Times New Roman" w:hAnsi="Times New Roman"/>
          <w:sz w:val="24"/>
          <w:szCs w:val="24"/>
        </w:rPr>
        <w:t>spelled</w:t>
      </w:r>
      <w:r w:rsidR="001C2D70" w:rsidRPr="00A75E02">
        <w:rPr>
          <w:rFonts w:ascii="Times New Roman" w:hAnsi="Times New Roman"/>
          <w:sz w:val="24"/>
          <w:szCs w:val="24"/>
        </w:rPr>
        <w:t xml:space="preserve"> using the above-mentioned letters in the source document and that source document attests that a person or his/her ancestors in the direct line had a citizenship of another foreign state or were married to a foreigner and taken his surname.</w:t>
      </w:r>
      <w:proofErr w:type="gramEnd"/>
      <w:r w:rsidR="001C2D70" w:rsidRPr="00A75E02">
        <w:rPr>
          <w:rFonts w:ascii="Times New Roman" w:hAnsi="Times New Roman"/>
          <w:sz w:val="24"/>
          <w:szCs w:val="24"/>
        </w:rPr>
        <w:t xml:space="preserve"> The Government of </w:t>
      </w:r>
      <w:r w:rsidR="00122719" w:rsidRPr="00A75E02">
        <w:rPr>
          <w:rFonts w:ascii="Times New Roman" w:hAnsi="Times New Roman"/>
          <w:sz w:val="24"/>
          <w:szCs w:val="24"/>
        </w:rPr>
        <w:t>the Republic of Lithua</w:t>
      </w:r>
      <w:r w:rsidR="001C2D70" w:rsidRPr="00A75E02">
        <w:rPr>
          <w:rFonts w:ascii="Times New Roman" w:hAnsi="Times New Roman"/>
          <w:sz w:val="24"/>
          <w:szCs w:val="24"/>
        </w:rPr>
        <w:t xml:space="preserve">nia and institution responsible for the protection of the state language (State Commission of the Lithuanian Language) have approved in principle </w:t>
      </w:r>
      <w:r w:rsidR="00AF782A">
        <w:rPr>
          <w:rFonts w:ascii="Times New Roman" w:hAnsi="Times New Roman"/>
          <w:sz w:val="24"/>
          <w:szCs w:val="24"/>
        </w:rPr>
        <w:t xml:space="preserve">to </w:t>
      </w:r>
      <w:r w:rsidR="001C2D70" w:rsidRPr="00A75E02">
        <w:rPr>
          <w:rFonts w:ascii="Times New Roman" w:hAnsi="Times New Roman"/>
          <w:sz w:val="24"/>
          <w:szCs w:val="24"/>
        </w:rPr>
        <w:t xml:space="preserve">the legal regulation stipulated in the second draft law. The above-mentioned draft laws </w:t>
      </w:r>
      <w:proofErr w:type="gramStart"/>
      <w:r w:rsidR="001C2D70" w:rsidRPr="00A75E02">
        <w:rPr>
          <w:rFonts w:ascii="Times New Roman" w:hAnsi="Times New Roman"/>
          <w:sz w:val="24"/>
          <w:szCs w:val="24"/>
        </w:rPr>
        <w:t>are currently discussed</w:t>
      </w:r>
      <w:proofErr w:type="gramEnd"/>
      <w:r w:rsidR="001C2D70" w:rsidRPr="00A75E02">
        <w:rPr>
          <w:rFonts w:ascii="Times New Roman" w:hAnsi="Times New Roman"/>
          <w:sz w:val="24"/>
          <w:szCs w:val="24"/>
        </w:rPr>
        <w:t xml:space="preserve"> in the committees of the </w:t>
      </w:r>
      <w:proofErr w:type="spellStart"/>
      <w:r w:rsidR="001C2D70" w:rsidRPr="00A75E02">
        <w:rPr>
          <w:rFonts w:ascii="Times New Roman" w:hAnsi="Times New Roman"/>
          <w:sz w:val="24"/>
          <w:szCs w:val="24"/>
        </w:rPr>
        <w:t>Seimas</w:t>
      </w:r>
      <w:proofErr w:type="spellEnd"/>
      <w:r w:rsidR="001C2D70" w:rsidRPr="00A75E02">
        <w:rPr>
          <w:rFonts w:ascii="Times New Roman" w:hAnsi="Times New Roman"/>
          <w:sz w:val="24"/>
          <w:szCs w:val="24"/>
        </w:rPr>
        <w:t xml:space="preserve"> of the Republic of Lithuania and the </w:t>
      </w:r>
      <w:proofErr w:type="spellStart"/>
      <w:r w:rsidR="001C2D70" w:rsidRPr="00A75E02">
        <w:rPr>
          <w:rFonts w:ascii="Times New Roman" w:hAnsi="Times New Roman"/>
          <w:sz w:val="24"/>
          <w:szCs w:val="24"/>
        </w:rPr>
        <w:t>Seimas</w:t>
      </w:r>
      <w:proofErr w:type="spellEnd"/>
      <w:r w:rsidR="001C2D70" w:rsidRPr="00A75E02">
        <w:rPr>
          <w:rFonts w:ascii="Times New Roman" w:hAnsi="Times New Roman"/>
          <w:sz w:val="24"/>
          <w:szCs w:val="24"/>
        </w:rPr>
        <w:t xml:space="preserve"> of the Republic of Lithuania plans to consider them during the </w:t>
      </w:r>
      <w:r w:rsidR="00D0528E">
        <w:rPr>
          <w:rFonts w:ascii="Times New Roman" w:hAnsi="Times New Roman"/>
          <w:sz w:val="24"/>
          <w:szCs w:val="24"/>
        </w:rPr>
        <w:t>parliamentary</w:t>
      </w:r>
      <w:r w:rsidR="001C2D70" w:rsidRPr="00A75E02">
        <w:rPr>
          <w:rFonts w:ascii="Times New Roman" w:hAnsi="Times New Roman"/>
          <w:sz w:val="24"/>
          <w:szCs w:val="24"/>
        </w:rPr>
        <w:t xml:space="preserve"> session</w:t>
      </w:r>
      <w:r w:rsidR="00D0528E">
        <w:rPr>
          <w:rFonts w:ascii="Times New Roman" w:hAnsi="Times New Roman"/>
          <w:sz w:val="24"/>
          <w:szCs w:val="24"/>
        </w:rPr>
        <w:t>s in 2018</w:t>
      </w:r>
      <w:r w:rsidR="001C2D70" w:rsidRPr="00A75E02">
        <w:rPr>
          <w:rFonts w:ascii="Times New Roman" w:hAnsi="Times New Roman"/>
          <w:sz w:val="24"/>
          <w:szCs w:val="24"/>
        </w:rPr>
        <w:t>.</w:t>
      </w:r>
    </w:p>
    <w:p w14:paraId="1E82D018" w14:textId="3C7335A8" w:rsidR="007632EC" w:rsidRPr="00A75E02" w:rsidRDefault="001515B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100</w:t>
      </w:r>
      <w:r w:rsidR="001C2D70" w:rsidRPr="00A75E02">
        <w:rPr>
          <w:rFonts w:ascii="Times New Roman" w:hAnsi="Times New Roman"/>
          <w:sz w:val="24"/>
          <w:szCs w:val="24"/>
        </w:rPr>
        <w:t xml:space="preserve">. On the basis of the prevailing </w:t>
      </w:r>
      <w:proofErr w:type="gramStart"/>
      <w:r w:rsidR="001C2D70" w:rsidRPr="00A75E02">
        <w:rPr>
          <w:rFonts w:ascii="Times New Roman" w:hAnsi="Times New Roman"/>
          <w:sz w:val="24"/>
          <w:szCs w:val="24"/>
        </w:rPr>
        <w:t>case-law</w:t>
      </w:r>
      <w:proofErr w:type="gramEnd"/>
      <w:r w:rsidR="001C2D70" w:rsidRPr="00A75E02">
        <w:rPr>
          <w:rFonts w:ascii="Times New Roman" w:hAnsi="Times New Roman"/>
          <w:sz w:val="24"/>
          <w:szCs w:val="24"/>
        </w:rPr>
        <w:t xml:space="preserve"> the courts of the Republic of Lithuania used to turn down requests submitted by the citizens of the Republic of Lithuania to </w:t>
      </w:r>
      <w:r w:rsidR="00925EDC">
        <w:rPr>
          <w:rFonts w:ascii="Times New Roman" w:hAnsi="Times New Roman"/>
          <w:sz w:val="24"/>
          <w:szCs w:val="24"/>
        </w:rPr>
        <w:t>spell their personal names using non-Lithuanian letters in</w:t>
      </w:r>
      <w:r w:rsidR="001C2D70" w:rsidRPr="00A75E02">
        <w:rPr>
          <w:rFonts w:ascii="Times New Roman" w:hAnsi="Times New Roman"/>
          <w:sz w:val="24"/>
          <w:szCs w:val="24"/>
        </w:rPr>
        <w:t xml:space="preserve"> official documents issued in Lit</w:t>
      </w:r>
      <w:r w:rsidR="00925EDC">
        <w:rPr>
          <w:rFonts w:ascii="Times New Roman" w:hAnsi="Times New Roman"/>
          <w:sz w:val="24"/>
          <w:szCs w:val="24"/>
        </w:rPr>
        <w:t>huania. The case-law has changed</w:t>
      </w:r>
      <w:r w:rsidR="001C2D70" w:rsidRPr="00A75E02">
        <w:rPr>
          <w:rFonts w:ascii="Times New Roman" w:hAnsi="Times New Roman"/>
          <w:sz w:val="24"/>
          <w:szCs w:val="24"/>
        </w:rPr>
        <w:t xml:space="preserve"> since 2015, i.e. the judgements of courts in individual cases have ordered the state institutions to use the L</w:t>
      </w:r>
      <w:r w:rsidR="00925EDC">
        <w:rPr>
          <w:rFonts w:ascii="Times New Roman" w:hAnsi="Times New Roman"/>
          <w:sz w:val="24"/>
          <w:szCs w:val="24"/>
        </w:rPr>
        <w:t>atin alphabet l</w:t>
      </w:r>
      <w:r w:rsidR="008C42A9">
        <w:rPr>
          <w:rFonts w:ascii="Times New Roman" w:hAnsi="Times New Roman"/>
          <w:sz w:val="24"/>
          <w:szCs w:val="24"/>
        </w:rPr>
        <w:t>e</w:t>
      </w:r>
      <w:r w:rsidR="00925EDC">
        <w:rPr>
          <w:rFonts w:ascii="Times New Roman" w:hAnsi="Times New Roman"/>
          <w:sz w:val="24"/>
          <w:szCs w:val="24"/>
        </w:rPr>
        <w:t>tter</w:t>
      </w:r>
      <w:r w:rsidR="0021351C">
        <w:rPr>
          <w:rFonts w:ascii="Times New Roman" w:hAnsi="Times New Roman"/>
          <w:sz w:val="24"/>
          <w:szCs w:val="24"/>
        </w:rPr>
        <w:t xml:space="preserve"> </w:t>
      </w:r>
      <w:r w:rsidR="00925EDC">
        <w:rPr>
          <w:rFonts w:ascii="Times New Roman" w:hAnsi="Times New Roman"/>
          <w:sz w:val="24"/>
          <w:szCs w:val="24"/>
        </w:rPr>
        <w:t>that is not</w:t>
      </w:r>
      <w:r w:rsidR="001C2D70" w:rsidRPr="00A75E02">
        <w:rPr>
          <w:rFonts w:ascii="Times New Roman" w:hAnsi="Times New Roman"/>
          <w:sz w:val="24"/>
          <w:szCs w:val="24"/>
        </w:rPr>
        <w:t xml:space="preserve"> present in the Lithuanian alphabet when </w:t>
      </w:r>
      <w:r w:rsidR="00925EDC">
        <w:rPr>
          <w:rFonts w:ascii="Times New Roman" w:hAnsi="Times New Roman"/>
          <w:sz w:val="24"/>
          <w:szCs w:val="24"/>
        </w:rPr>
        <w:t>spelling</w:t>
      </w:r>
      <w:r w:rsidR="001C2D70" w:rsidRPr="00A75E02">
        <w:rPr>
          <w:rFonts w:ascii="Times New Roman" w:hAnsi="Times New Roman"/>
          <w:sz w:val="24"/>
          <w:szCs w:val="24"/>
        </w:rPr>
        <w:t xml:space="preserve"> the surname in the certificates of civil status (10 judgements) and in identity documents (2 judgements). It should be noted that the </w:t>
      </w:r>
      <w:proofErr w:type="gramStart"/>
      <w:r w:rsidR="001C2D70" w:rsidRPr="00A75E02">
        <w:rPr>
          <w:rFonts w:ascii="Times New Roman" w:hAnsi="Times New Roman"/>
          <w:sz w:val="24"/>
          <w:szCs w:val="24"/>
        </w:rPr>
        <w:t>case-law</w:t>
      </w:r>
      <w:proofErr w:type="gramEnd"/>
      <w:r w:rsidR="001C2D70" w:rsidRPr="00A75E02">
        <w:rPr>
          <w:rFonts w:ascii="Times New Roman" w:hAnsi="Times New Roman"/>
          <w:sz w:val="24"/>
          <w:szCs w:val="24"/>
        </w:rPr>
        <w:t xml:space="preserve"> is not uniform in all the cases, the courts assess th</w:t>
      </w:r>
      <w:r w:rsidR="00D0528E">
        <w:rPr>
          <w:rFonts w:ascii="Times New Roman" w:hAnsi="Times New Roman"/>
          <w:sz w:val="24"/>
          <w:szCs w:val="24"/>
        </w:rPr>
        <w:t>e individual situation and take</w:t>
      </w:r>
      <w:r w:rsidR="001C2D70" w:rsidRPr="00A75E02">
        <w:rPr>
          <w:rFonts w:ascii="Times New Roman" w:hAnsi="Times New Roman"/>
          <w:sz w:val="24"/>
          <w:szCs w:val="24"/>
        </w:rPr>
        <w:t xml:space="preserve"> into account the problems and inconveniences that the refusal to modify the personal name may cause to a person concerned.</w:t>
      </w:r>
    </w:p>
    <w:p w14:paraId="1B75DE98" w14:textId="77777777" w:rsidR="007632EC" w:rsidRPr="00A75E02" w:rsidRDefault="007632EC" w:rsidP="00742FA3">
      <w:pPr>
        <w:spacing w:before="100" w:beforeAutospacing="1" w:after="100" w:afterAutospacing="1" w:line="240" w:lineRule="auto"/>
        <w:jc w:val="both"/>
        <w:rPr>
          <w:rFonts w:ascii="Times New Roman" w:hAnsi="Times New Roman" w:cs="Times New Roman"/>
          <w:i/>
          <w:sz w:val="24"/>
          <w:szCs w:val="24"/>
        </w:rPr>
      </w:pPr>
      <w:r w:rsidRPr="00A75E02">
        <w:rPr>
          <w:rFonts w:ascii="Times New Roman" w:hAnsi="Times New Roman"/>
          <w:i/>
          <w:sz w:val="24"/>
          <w:szCs w:val="24"/>
        </w:rPr>
        <w:t xml:space="preserve">The Committee notes the lack of information on monitoring the application of the new law on citizenship closely under which a person </w:t>
      </w:r>
      <w:proofErr w:type="gramStart"/>
      <w:r w:rsidRPr="00A75E02">
        <w:rPr>
          <w:rFonts w:ascii="Times New Roman" w:hAnsi="Times New Roman"/>
          <w:i/>
          <w:sz w:val="24"/>
          <w:szCs w:val="24"/>
        </w:rPr>
        <w:t>can be deprived of citizenship and left stateless</w:t>
      </w:r>
      <w:proofErr w:type="gramEnd"/>
      <w:r w:rsidRPr="00A75E02">
        <w:rPr>
          <w:rFonts w:ascii="Times New Roman" w:hAnsi="Times New Roman"/>
          <w:i/>
          <w:sz w:val="24"/>
          <w:szCs w:val="24"/>
        </w:rPr>
        <w:t xml:space="preserve">. </w:t>
      </w:r>
      <w:proofErr w:type="gramStart"/>
      <w:r w:rsidRPr="00A75E02">
        <w:rPr>
          <w:rFonts w:ascii="Times New Roman" w:hAnsi="Times New Roman"/>
          <w:i/>
          <w:sz w:val="24"/>
          <w:szCs w:val="24"/>
        </w:rPr>
        <w:t xml:space="preserve">While noting information provided by the State party on the leaflet and guidance note for asylum seekers, the Committee requests further information of the effectiveness of these measures in achieving their </w:t>
      </w:r>
      <w:r w:rsidRPr="00A75E02">
        <w:rPr>
          <w:rFonts w:ascii="Times New Roman" w:hAnsi="Times New Roman"/>
          <w:i/>
          <w:sz w:val="24"/>
          <w:szCs w:val="24"/>
        </w:rPr>
        <w:lastRenderedPageBreak/>
        <w:t>objectives the Committee also requests further detailed information on measures taken to improve reception conditions and the integration of refugees and asylum seekers, including the status of the draft resolution on approving the procedure for asylum seeker accommodation.</w:t>
      </w:r>
      <w:proofErr w:type="gramEnd"/>
    </w:p>
    <w:p w14:paraId="13E937B3" w14:textId="2A0DAAD8" w:rsidR="001E757A" w:rsidRPr="00A75E02" w:rsidRDefault="001515B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101</w:t>
      </w:r>
      <w:r w:rsidR="001C2D70" w:rsidRPr="00A75E02">
        <w:rPr>
          <w:rFonts w:ascii="Times New Roman" w:hAnsi="Times New Roman"/>
          <w:sz w:val="24"/>
          <w:szCs w:val="24"/>
        </w:rPr>
        <w:t xml:space="preserve">. It </w:t>
      </w:r>
      <w:proofErr w:type="gramStart"/>
      <w:r w:rsidR="001C2D70" w:rsidRPr="00A75E02">
        <w:rPr>
          <w:rFonts w:ascii="Times New Roman" w:hAnsi="Times New Roman"/>
          <w:sz w:val="24"/>
          <w:szCs w:val="24"/>
        </w:rPr>
        <w:t>should be noted</w:t>
      </w:r>
      <w:proofErr w:type="gramEnd"/>
      <w:r w:rsidR="001C2D70" w:rsidRPr="00A75E02">
        <w:rPr>
          <w:rFonts w:ascii="Times New Roman" w:hAnsi="Times New Roman"/>
          <w:sz w:val="24"/>
          <w:szCs w:val="24"/>
        </w:rPr>
        <w:t xml:space="preserve"> that the Law on Citizenship of the Republic of Lithuania in relation to the reduction of statelessness has not been amended since 2014. </w:t>
      </w:r>
      <w:proofErr w:type="gramStart"/>
      <w:r w:rsidR="001C2D70" w:rsidRPr="00A75E02">
        <w:rPr>
          <w:rFonts w:ascii="Times New Roman" w:hAnsi="Times New Roman"/>
          <w:sz w:val="24"/>
          <w:szCs w:val="24"/>
        </w:rPr>
        <w:t>However, the Migration Department under the Ministry of Interior as well as migration units of county chief police headquarters provide information on conditions applied to the acquisition of the citizenship of the Republic of Lithuania to stateless persons, assist in collecting the documentation necessary for the acquisition of the citizenship of the Republic of Lithuania</w:t>
      </w:r>
      <w:r w:rsidR="00484557">
        <w:rPr>
          <w:rFonts w:ascii="Times New Roman" w:hAnsi="Times New Roman"/>
          <w:sz w:val="24"/>
          <w:szCs w:val="24"/>
        </w:rPr>
        <w:t>,</w:t>
      </w:r>
      <w:r w:rsidR="001C2D70" w:rsidRPr="00A75E02">
        <w:rPr>
          <w:rFonts w:ascii="Times New Roman" w:hAnsi="Times New Roman"/>
          <w:sz w:val="24"/>
          <w:szCs w:val="24"/>
        </w:rPr>
        <w:t xml:space="preserve"> provided </w:t>
      </w:r>
      <w:r w:rsidR="00484557">
        <w:rPr>
          <w:rFonts w:ascii="Times New Roman" w:hAnsi="Times New Roman"/>
          <w:sz w:val="24"/>
          <w:szCs w:val="24"/>
        </w:rPr>
        <w:t xml:space="preserve">that </w:t>
      </w:r>
      <w:r w:rsidR="001C2D70" w:rsidRPr="00A75E02">
        <w:rPr>
          <w:rFonts w:ascii="Times New Roman" w:hAnsi="Times New Roman"/>
          <w:sz w:val="24"/>
          <w:szCs w:val="24"/>
        </w:rPr>
        <w:t>such persons seek the citizenship of the Republic of Lithuania.</w:t>
      </w:r>
      <w:proofErr w:type="gramEnd"/>
      <w:r w:rsidR="001C2D70" w:rsidRPr="00A75E02">
        <w:rPr>
          <w:rFonts w:ascii="Times New Roman" w:hAnsi="Times New Roman"/>
          <w:sz w:val="24"/>
          <w:szCs w:val="24"/>
        </w:rPr>
        <w:t xml:space="preserve"> </w:t>
      </w:r>
    </w:p>
    <w:p w14:paraId="750A96A1" w14:textId="0B10E34E" w:rsidR="001E757A" w:rsidRPr="00A75E02" w:rsidRDefault="001515B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102</w:t>
      </w:r>
      <w:r w:rsidR="001C2D70" w:rsidRPr="00A75E02">
        <w:rPr>
          <w:rFonts w:ascii="Times New Roman" w:hAnsi="Times New Roman"/>
          <w:sz w:val="24"/>
          <w:szCs w:val="24"/>
        </w:rPr>
        <w:t>. The statistical data is as follows:</w:t>
      </w:r>
    </w:p>
    <w:p w14:paraId="32419F11" w14:textId="123EC62B" w:rsidR="001E757A" w:rsidRPr="00A75E02" w:rsidRDefault="001515B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103</w:t>
      </w:r>
      <w:r w:rsidR="001C2D70" w:rsidRPr="00A75E02">
        <w:rPr>
          <w:rFonts w:ascii="Times New Roman" w:hAnsi="Times New Roman"/>
          <w:sz w:val="24"/>
          <w:szCs w:val="24"/>
        </w:rPr>
        <w:t>. The number of stateless persons in the Republic of Lithuania: 3 892 on 1 January 2014, 3 645 on 1 January 2015, 3 466 on 1 January 2016, 3 320 on 1 January 2017.</w:t>
      </w:r>
    </w:p>
    <w:p w14:paraId="1A801D54" w14:textId="6768BF5F" w:rsidR="001E757A" w:rsidRPr="00A75E02" w:rsidRDefault="001515B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104</w:t>
      </w:r>
      <w:r w:rsidR="001C2D70" w:rsidRPr="00A75E02">
        <w:rPr>
          <w:rFonts w:ascii="Times New Roman" w:hAnsi="Times New Roman"/>
          <w:sz w:val="24"/>
          <w:szCs w:val="24"/>
        </w:rPr>
        <w:t>. The number of stateless persons who acquired the citizenship of the Republic of Lithuania:</w:t>
      </w:r>
    </w:p>
    <w:p w14:paraId="3FF1E44D" w14:textId="77777777" w:rsidR="00D33CEF" w:rsidRPr="00A75E02" w:rsidRDefault="001E757A" w:rsidP="00D33CEF">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the citizenship was acquired by naturalisation (</w:t>
      </w:r>
      <w:r w:rsidR="00484557">
        <w:rPr>
          <w:rFonts w:ascii="Times New Roman" w:hAnsi="Times New Roman"/>
          <w:sz w:val="24"/>
          <w:szCs w:val="24"/>
        </w:rPr>
        <w:t xml:space="preserve">number of persons </w:t>
      </w:r>
      <w:r w:rsidRPr="00A75E02">
        <w:rPr>
          <w:rFonts w:ascii="Times New Roman" w:hAnsi="Times New Roman"/>
          <w:sz w:val="24"/>
          <w:szCs w:val="24"/>
        </w:rPr>
        <w:t xml:space="preserve">living in Lithuania: 61 person in 2014, 50 persons in 2015, 33 persons in 2016); </w:t>
      </w:r>
    </w:p>
    <w:p w14:paraId="3DD02E12" w14:textId="39F4ABEF" w:rsidR="00D33CEF" w:rsidRPr="00A75E02" w:rsidRDefault="001E757A" w:rsidP="00D33CEF">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r w:rsidRPr="00A75E02">
        <w:rPr>
          <w:rFonts w:ascii="Times New Roman" w:hAnsi="Times New Roman"/>
          <w:sz w:val="24"/>
          <w:szCs w:val="24"/>
        </w:rPr>
        <w:t xml:space="preserve">the citizenship of the Republic of Lithuania was granted </w:t>
      </w:r>
      <w:r w:rsidR="00D8605C">
        <w:rPr>
          <w:rFonts w:ascii="Times New Roman" w:hAnsi="Times New Roman"/>
          <w:sz w:val="24"/>
          <w:szCs w:val="24"/>
        </w:rPr>
        <w:t>under the simplified</w:t>
      </w:r>
      <w:r w:rsidRPr="00A75E02">
        <w:rPr>
          <w:rFonts w:ascii="Times New Roman" w:hAnsi="Times New Roman"/>
          <w:sz w:val="24"/>
          <w:szCs w:val="24"/>
        </w:rPr>
        <w:t xml:space="preserve"> procedure (for persons living in Lithuania and other states: 17 persons in 2014, 10 persons in 2015, 20 persons in 2016);</w:t>
      </w:r>
    </w:p>
    <w:p w14:paraId="7684490B" w14:textId="77777777" w:rsidR="00D33CEF" w:rsidRPr="00A75E02" w:rsidRDefault="001E757A" w:rsidP="00D33CEF">
      <w:pPr>
        <w:pStyle w:val="ListParagraph"/>
        <w:numPr>
          <w:ilvl w:val="0"/>
          <w:numId w:val="5"/>
        </w:numPr>
        <w:spacing w:before="100" w:beforeAutospacing="1" w:after="100" w:afterAutospacing="1" w:line="240" w:lineRule="auto"/>
        <w:jc w:val="both"/>
        <w:rPr>
          <w:rFonts w:ascii="Times New Roman" w:hAnsi="Times New Roman" w:cs="Times New Roman"/>
          <w:sz w:val="24"/>
          <w:szCs w:val="24"/>
        </w:rPr>
      </w:pPr>
      <w:proofErr w:type="gramStart"/>
      <w:r w:rsidRPr="00A75E02">
        <w:rPr>
          <w:rFonts w:ascii="Times New Roman" w:hAnsi="Times New Roman"/>
          <w:sz w:val="24"/>
          <w:szCs w:val="24"/>
        </w:rPr>
        <w:t>the</w:t>
      </w:r>
      <w:proofErr w:type="gramEnd"/>
      <w:r w:rsidRPr="00A75E02">
        <w:rPr>
          <w:rFonts w:ascii="Times New Roman" w:hAnsi="Times New Roman"/>
          <w:sz w:val="24"/>
          <w:szCs w:val="24"/>
        </w:rPr>
        <w:t xml:space="preserve"> citizenship of the Republic of Lithuania was restored (for persons living in Lithuania and other states: 80 persons in 2014, 128 persons in 2015, 68 persons in 2016).</w:t>
      </w:r>
    </w:p>
    <w:p w14:paraId="4BF32966" w14:textId="3DFF73E0" w:rsidR="00B44CE4" w:rsidRPr="00A75E02" w:rsidRDefault="001515BD" w:rsidP="00742F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105</w:t>
      </w:r>
      <w:r w:rsidR="001C2D70" w:rsidRPr="00A75E02">
        <w:rPr>
          <w:rFonts w:ascii="Times New Roman" w:hAnsi="Times New Roman"/>
          <w:sz w:val="24"/>
          <w:szCs w:val="24"/>
        </w:rPr>
        <w:t>. The Ministry</w:t>
      </w:r>
      <w:r w:rsidR="00B136EB">
        <w:rPr>
          <w:rFonts w:ascii="Times New Roman" w:hAnsi="Times New Roman"/>
          <w:sz w:val="24"/>
          <w:szCs w:val="24"/>
        </w:rPr>
        <w:t xml:space="preserve"> of Social Security and Labour </w:t>
      </w:r>
      <w:r w:rsidR="00B136EB" w:rsidRPr="00A75E02">
        <w:rPr>
          <w:rFonts w:ascii="Times New Roman" w:hAnsi="Times New Roman"/>
          <w:sz w:val="24"/>
          <w:szCs w:val="24"/>
        </w:rPr>
        <w:t>is continuing to improve the legislation</w:t>
      </w:r>
      <w:r w:rsidR="00B136EB">
        <w:rPr>
          <w:rFonts w:ascii="Times New Roman" w:hAnsi="Times New Roman"/>
          <w:sz w:val="24"/>
          <w:szCs w:val="24"/>
        </w:rPr>
        <w:t xml:space="preserve"> with the goal</w:t>
      </w:r>
      <w:r w:rsidR="001C2D70" w:rsidRPr="00A75E02">
        <w:rPr>
          <w:rFonts w:ascii="Times New Roman" w:hAnsi="Times New Roman"/>
          <w:sz w:val="24"/>
          <w:szCs w:val="24"/>
        </w:rPr>
        <w:t xml:space="preserve"> to</w:t>
      </w:r>
      <w:r w:rsidR="00D438F7">
        <w:rPr>
          <w:rFonts w:ascii="Times New Roman" w:hAnsi="Times New Roman"/>
          <w:sz w:val="24"/>
          <w:szCs w:val="24"/>
        </w:rPr>
        <w:t xml:space="preserve"> improve the reception conditions for</w:t>
      </w:r>
      <w:r w:rsidR="001C2D70" w:rsidRPr="00A75E02">
        <w:rPr>
          <w:rFonts w:ascii="Times New Roman" w:hAnsi="Times New Roman"/>
          <w:sz w:val="24"/>
          <w:szCs w:val="24"/>
        </w:rPr>
        <w:t xml:space="preserve"> asylum seekers and</w:t>
      </w:r>
      <w:r w:rsidR="00122719" w:rsidRPr="00A75E02">
        <w:rPr>
          <w:rFonts w:ascii="Times New Roman" w:hAnsi="Times New Roman"/>
          <w:sz w:val="24"/>
          <w:szCs w:val="24"/>
        </w:rPr>
        <w:t xml:space="preserve"> refugees and their integration</w:t>
      </w:r>
      <w:r w:rsidR="001C2D70" w:rsidRPr="00A75E02">
        <w:rPr>
          <w:rFonts w:ascii="Times New Roman" w:hAnsi="Times New Roman"/>
          <w:sz w:val="24"/>
          <w:szCs w:val="24"/>
        </w:rPr>
        <w:t xml:space="preserve">. </w:t>
      </w:r>
      <w:proofErr w:type="gramStart"/>
      <w:r w:rsidR="001C2D70" w:rsidRPr="00A75E02">
        <w:rPr>
          <w:rFonts w:ascii="Times New Roman" w:hAnsi="Times New Roman"/>
          <w:sz w:val="24"/>
          <w:szCs w:val="24"/>
        </w:rPr>
        <w:t xml:space="preserve">Important amendments have been made to the Law of the Republic of Lithuania on Benefits to Children, Law of the Republic of Lithuania on Death Grants, Law of the Republic of Lithuania on the Social Integration of </w:t>
      </w:r>
      <w:r w:rsidR="00D438F7">
        <w:rPr>
          <w:rFonts w:ascii="Times New Roman" w:hAnsi="Times New Roman"/>
          <w:sz w:val="24"/>
          <w:szCs w:val="24"/>
        </w:rPr>
        <w:t xml:space="preserve">the </w:t>
      </w:r>
      <w:r w:rsidR="001C2D70" w:rsidRPr="00A75E02">
        <w:rPr>
          <w:rFonts w:ascii="Times New Roman" w:hAnsi="Times New Roman"/>
          <w:sz w:val="24"/>
          <w:szCs w:val="24"/>
        </w:rPr>
        <w:t>Disabled, Law of the Republic of Lithuania on State Social Allowances, Law o</w:t>
      </w:r>
      <w:r w:rsidR="00D438F7">
        <w:rPr>
          <w:rFonts w:ascii="Times New Roman" w:hAnsi="Times New Roman"/>
          <w:sz w:val="24"/>
          <w:szCs w:val="24"/>
        </w:rPr>
        <w:t>f the Republic of Lithuania on Monetary Support to Deprived P</w:t>
      </w:r>
      <w:r w:rsidR="001C2D70" w:rsidRPr="00A75E02">
        <w:rPr>
          <w:rFonts w:ascii="Times New Roman" w:hAnsi="Times New Roman"/>
          <w:sz w:val="24"/>
          <w:szCs w:val="24"/>
        </w:rPr>
        <w:t>ersons, Law o</w:t>
      </w:r>
      <w:r w:rsidR="000C0D18">
        <w:rPr>
          <w:rFonts w:ascii="Times New Roman" w:hAnsi="Times New Roman"/>
          <w:sz w:val="24"/>
          <w:szCs w:val="24"/>
        </w:rPr>
        <w:t>f the Republic of Lithuania on Targeted C</w:t>
      </w:r>
      <w:r w:rsidR="001C2D70" w:rsidRPr="00A75E02">
        <w:rPr>
          <w:rFonts w:ascii="Times New Roman" w:hAnsi="Times New Roman"/>
          <w:sz w:val="24"/>
          <w:szCs w:val="24"/>
        </w:rPr>
        <w:t>ompensations that ensured uniform status o</w:t>
      </w:r>
      <w:r w:rsidR="000C0D18">
        <w:rPr>
          <w:rFonts w:ascii="Times New Roman" w:hAnsi="Times New Roman"/>
          <w:sz w:val="24"/>
          <w:szCs w:val="24"/>
        </w:rPr>
        <w:t xml:space="preserve">f refugees and persons holding </w:t>
      </w:r>
      <w:r w:rsidR="001C2D70" w:rsidRPr="00A75E02">
        <w:rPr>
          <w:rFonts w:ascii="Times New Roman" w:hAnsi="Times New Roman"/>
          <w:sz w:val="24"/>
          <w:szCs w:val="24"/>
        </w:rPr>
        <w:t>subsidiary protection</w:t>
      </w:r>
      <w:r w:rsidR="00A37715">
        <w:rPr>
          <w:rFonts w:ascii="Times New Roman" w:hAnsi="Times New Roman"/>
          <w:sz w:val="24"/>
          <w:szCs w:val="24"/>
        </w:rPr>
        <w:t>.</w:t>
      </w:r>
      <w:proofErr w:type="gramEnd"/>
      <w:r w:rsidR="00A37715">
        <w:rPr>
          <w:rFonts w:ascii="Times New Roman" w:hAnsi="Times New Roman"/>
          <w:sz w:val="24"/>
          <w:szCs w:val="24"/>
        </w:rPr>
        <w:t xml:space="preserve"> </w:t>
      </w:r>
      <w:proofErr w:type="gramStart"/>
      <w:r w:rsidR="00470827">
        <w:rPr>
          <w:rFonts w:ascii="Times New Roman" w:hAnsi="Times New Roman"/>
          <w:sz w:val="24"/>
          <w:szCs w:val="24"/>
        </w:rPr>
        <w:t>F</w:t>
      </w:r>
      <w:r w:rsidR="006C1672" w:rsidRPr="00A75E02">
        <w:rPr>
          <w:rFonts w:ascii="Times New Roman" w:hAnsi="Times New Roman"/>
          <w:sz w:val="24"/>
          <w:szCs w:val="24"/>
        </w:rPr>
        <w:t>oreigners</w:t>
      </w:r>
      <w:proofErr w:type="gramEnd"/>
      <w:r w:rsidR="006C1672" w:rsidRPr="00A75E02">
        <w:rPr>
          <w:rFonts w:ascii="Times New Roman" w:hAnsi="Times New Roman"/>
          <w:sz w:val="24"/>
          <w:szCs w:val="24"/>
        </w:rPr>
        <w:t xml:space="preserve"> who were granted asylum in Lithuania</w:t>
      </w:r>
      <w:r w:rsidR="00470827">
        <w:rPr>
          <w:rFonts w:ascii="Times New Roman" w:hAnsi="Times New Roman"/>
          <w:sz w:val="24"/>
          <w:szCs w:val="24"/>
        </w:rPr>
        <w:t>, are</w:t>
      </w:r>
      <w:r w:rsidR="00A37715">
        <w:rPr>
          <w:rFonts w:ascii="Times New Roman" w:hAnsi="Times New Roman"/>
          <w:sz w:val="24"/>
          <w:szCs w:val="24"/>
        </w:rPr>
        <w:t xml:space="preserve"> </w:t>
      </w:r>
      <w:r w:rsidR="00470827">
        <w:rPr>
          <w:rFonts w:ascii="Times New Roman" w:hAnsi="Times New Roman"/>
          <w:sz w:val="24"/>
          <w:szCs w:val="24"/>
        </w:rPr>
        <w:t>provided with the</w:t>
      </w:r>
      <w:r w:rsidR="001C2D70" w:rsidRPr="00A75E02">
        <w:rPr>
          <w:rFonts w:ascii="Times New Roman" w:hAnsi="Times New Roman"/>
          <w:sz w:val="24"/>
          <w:szCs w:val="24"/>
        </w:rPr>
        <w:t xml:space="preserve"> state social assistance under the same conditions as are applied to the citizens of Lithuania. In addition, significant amendments to </w:t>
      </w:r>
      <w:r w:rsidR="000C0D18">
        <w:rPr>
          <w:rFonts w:ascii="Times New Roman" w:hAnsi="Times New Roman"/>
          <w:sz w:val="24"/>
          <w:szCs w:val="24"/>
        </w:rPr>
        <w:t xml:space="preserve">the </w:t>
      </w:r>
      <w:r w:rsidR="001C2D70" w:rsidRPr="00A75E02">
        <w:rPr>
          <w:rFonts w:ascii="Times New Roman" w:hAnsi="Times New Roman"/>
          <w:sz w:val="24"/>
          <w:szCs w:val="24"/>
        </w:rPr>
        <w:t>Resolution of the Government of the Republic of Lithuania No 998 on the approval of the Procedure for the provision of state support for the integration of persons granted asylum (hereinafter referred to as the Resolution) have been made</w:t>
      </w:r>
      <w:r w:rsidR="006C1672">
        <w:rPr>
          <w:rFonts w:ascii="Times New Roman" w:hAnsi="Times New Roman"/>
          <w:sz w:val="24"/>
          <w:szCs w:val="24"/>
        </w:rPr>
        <w:t>. Amended Resolution</w:t>
      </w:r>
      <w:r w:rsidR="001C2D70" w:rsidRPr="00A75E02">
        <w:rPr>
          <w:rFonts w:ascii="Times New Roman" w:hAnsi="Times New Roman"/>
          <w:sz w:val="24"/>
          <w:szCs w:val="24"/>
        </w:rPr>
        <w:t xml:space="preserve"> provide</w:t>
      </w:r>
      <w:r w:rsidR="006C1672">
        <w:rPr>
          <w:rFonts w:ascii="Times New Roman" w:hAnsi="Times New Roman"/>
          <w:sz w:val="24"/>
          <w:szCs w:val="24"/>
        </w:rPr>
        <w:t xml:space="preserve">s </w:t>
      </w:r>
      <w:r w:rsidR="001C2D70" w:rsidRPr="00A75E02">
        <w:rPr>
          <w:rFonts w:ascii="Times New Roman" w:hAnsi="Times New Roman"/>
          <w:sz w:val="24"/>
          <w:szCs w:val="24"/>
        </w:rPr>
        <w:t xml:space="preserve">the possibility to </w:t>
      </w:r>
      <w:r w:rsidR="006C1672">
        <w:rPr>
          <w:rFonts w:ascii="Times New Roman" w:hAnsi="Times New Roman"/>
          <w:sz w:val="24"/>
          <w:szCs w:val="24"/>
        </w:rPr>
        <w:t>accommodate</w:t>
      </w:r>
      <w:r w:rsidR="001C2D70" w:rsidRPr="00A75E02">
        <w:rPr>
          <w:rFonts w:ascii="Times New Roman" w:hAnsi="Times New Roman"/>
          <w:sz w:val="24"/>
          <w:szCs w:val="24"/>
        </w:rPr>
        <w:t xml:space="preserve"> asylum seekers in other premises of the Reception Centre for </w:t>
      </w:r>
      <w:r w:rsidR="00176515">
        <w:rPr>
          <w:rFonts w:ascii="Times New Roman" w:hAnsi="Times New Roman"/>
          <w:sz w:val="24"/>
          <w:szCs w:val="24"/>
        </w:rPr>
        <w:t>Refugees</w:t>
      </w:r>
      <w:r w:rsidR="001C2D70" w:rsidRPr="00A75E02">
        <w:rPr>
          <w:rFonts w:ascii="Times New Roman" w:hAnsi="Times New Roman"/>
          <w:sz w:val="24"/>
          <w:szCs w:val="24"/>
        </w:rPr>
        <w:t xml:space="preserve"> (hereinafter referred to as </w:t>
      </w:r>
      <w:r w:rsidR="00122719" w:rsidRPr="00A75E02">
        <w:rPr>
          <w:rFonts w:ascii="Times New Roman" w:hAnsi="Times New Roman"/>
          <w:sz w:val="24"/>
          <w:szCs w:val="24"/>
        </w:rPr>
        <w:t xml:space="preserve">the </w:t>
      </w:r>
      <w:r w:rsidR="001C2D70" w:rsidRPr="00A75E02">
        <w:rPr>
          <w:rFonts w:ascii="Times New Roman" w:hAnsi="Times New Roman"/>
          <w:sz w:val="24"/>
          <w:szCs w:val="24"/>
        </w:rPr>
        <w:t>RCR) if required (for example in apartments taken on lease in the municipalities)</w:t>
      </w:r>
      <w:r w:rsidR="0015087E">
        <w:rPr>
          <w:rFonts w:ascii="Times New Roman" w:hAnsi="Times New Roman"/>
          <w:sz w:val="24"/>
          <w:szCs w:val="24"/>
        </w:rPr>
        <w:t>. It also</w:t>
      </w:r>
      <w:r w:rsidR="001C2D70" w:rsidRPr="00A75E02">
        <w:rPr>
          <w:rFonts w:ascii="Times New Roman" w:hAnsi="Times New Roman"/>
          <w:sz w:val="24"/>
          <w:szCs w:val="24"/>
        </w:rPr>
        <w:t xml:space="preserve"> </w:t>
      </w:r>
      <w:r w:rsidR="0015087E">
        <w:rPr>
          <w:rFonts w:ascii="Times New Roman" w:hAnsi="Times New Roman"/>
          <w:sz w:val="24"/>
          <w:szCs w:val="24"/>
        </w:rPr>
        <w:t>allows simplified integration procedure: enables</w:t>
      </w:r>
      <w:r w:rsidR="001C2D70" w:rsidRPr="00A75E02">
        <w:rPr>
          <w:rFonts w:ascii="Times New Roman" w:hAnsi="Times New Roman"/>
          <w:sz w:val="24"/>
          <w:szCs w:val="24"/>
        </w:rPr>
        <w:t xml:space="preserve"> to start the integration programme immediately in the mu</w:t>
      </w:r>
      <w:r w:rsidR="005D5BAD">
        <w:rPr>
          <w:rFonts w:ascii="Times New Roman" w:hAnsi="Times New Roman"/>
          <w:sz w:val="24"/>
          <w:szCs w:val="24"/>
        </w:rPr>
        <w:t>nicipalities avoiding phase I</w:t>
      </w:r>
      <w:r w:rsidR="001C2D70" w:rsidRPr="00A75E02">
        <w:rPr>
          <w:rFonts w:ascii="Times New Roman" w:hAnsi="Times New Roman"/>
          <w:sz w:val="24"/>
          <w:szCs w:val="24"/>
        </w:rPr>
        <w:t xml:space="preserve"> </w:t>
      </w:r>
      <w:r w:rsidR="005D5BAD">
        <w:rPr>
          <w:rFonts w:ascii="Times New Roman" w:hAnsi="Times New Roman"/>
          <w:sz w:val="24"/>
          <w:szCs w:val="24"/>
        </w:rPr>
        <w:t>(</w:t>
      </w:r>
      <w:r w:rsidR="001C2D70" w:rsidRPr="00A75E02">
        <w:rPr>
          <w:rFonts w:ascii="Times New Roman" w:hAnsi="Times New Roman"/>
          <w:sz w:val="24"/>
          <w:szCs w:val="24"/>
        </w:rPr>
        <w:t xml:space="preserve">integration in </w:t>
      </w:r>
      <w:r w:rsidR="00122719" w:rsidRPr="00A75E02">
        <w:rPr>
          <w:rFonts w:ascii="Times New Roman" w:hAnsi="Times New Roman"/>
          <w:sz w:val="24"/>
          <w:szCs w:val="24"/>
        </w:rPr>
        <w:t xml:space="preserve">the </w:t>
      </w:r>
      <w:r w:rsidR="001C2D70" w:rsidRPr="00A75E02">
        <w:rPr>
          <w:rFonts w:ascii="Times New Roman" w:hAnsi="Times New Roman"/>
          <w:sz w:val="24"/>
          <w:szCs w:val="24"/>
        </w:rPr>
        <w:t>RCR</w:t>
      </w:r>
      <w:r w:rsidR="005D5BAD">
        <w:rPr>
          <w:rFonts w:ascii="Times New Roman" w:hAnsi="Times New Roman"/>
          <w:sz w:val="24"/>
          <w:szCs w:val="24"/>
        </w:rPr>
        <w:t>)</w:t>
      </w:r>
      <w:r w:rsidR="001C2D70" w:rsidRPr="00A75E02">
        <w:rPr>
          <w:rFonts w:ascii="Times New Roman" w:hAnsi="Times New Roman"/>
          <w:sz w:val="24"/>
          <w:szCs w:val="24"/>
        </w:rPr>
        <w:t xml:space="preserve">. When addressing the problem related to the housing of persons in municipalities, possibility to pay compensation to cover part of housing rent expenses to persons granted asylum </w:t>
      </w:r>
      <w:proofErr w:type="gramStart"/>
      <w:r w:rsidR="0015087E">
        <w:rPr>
          <w:rFonts w:ascii="Times New Roman" w:hAnsi="Times New Roman"/>
          <w:sz w:val="24"/>
          <w:szCs w:val="24"/>
        </w:rPr>
        <w:t>will</w:t>
      </w:r>
      <w:proofErr w:type="gramEnd"/>
      <w:r w:rsidR="0015087E">
        <w:rPr>
          <w:rFonts w:ascii="Times New Roman" w:hAnsi="Times New Roman"/>
          <w:sz w:val="24"/>
          <w:szCs w:val="24"/>
        </w:rPr>
        <w:t xml:space="preserve"> be</w:t>
      </w:r>
      <w:r w:rsidR="001C2D70" w:rsidRPr="00A75E02">
        <w:rPr>
          <w:rFonts w:ascii="Times New Roman" w:hAnsi="Times New Roman"/>
          <w:sz w:val="24"/>
          <w:szCs w:val="24"/>
        </w:rPr>
        <w:t xml:space="preserve"> ensured. </w:t>
      </w:r>
    </w:p>
    <w:p w14:paraId="4A881861" w14:textId="4B6242F0"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106</w:t>
      </w:r>
      <w:r w:rsidR="00B661B8">
        <w:rPr>
          <w:rFonts w:ascii="Times New Roman" w:hAnsi="Times New Roman"/>
          <w:sz w:val="24"/>
          <w:szCs w:val="24"/>
        </w:rPr>
        <w:t xml:space="preserve">. Furthermore, significant amendments </w:t>
      </w:r>
      <w:proofErr w:type="gramStart"/>
      <w:r w:rsidR="00B661B8">
        <w:rPr>
          <w:rFonts w:ascii="Times New Roman" w:hAnsi="Times New Roman"/>
          <w:sz w:val="24"/>
          <w:szCs w:val="24"/>
        </w:rPr>
        <w:t>have been made</w:t>
      </w:r>
      <w:proofErr w:type="gramEnd"/>
      <w:r w:rsidR="00B661B8">
        <w:rPr>
          <w:rFonts w:ascii="Times New Roman" w:hAnsi="Times New Roman"/>
          <w:sz w:val="24"/>
          <w:szCs w:val="24"/>
        </w:rPr>
        <w:t xml:space="preserve"> to the Law on Employment</w:t>
      </w:r>
      <w:r w:rsidR="00E86B01">
        <w:rPr>
          <w:rFonts w:ascii="Times New Roman" w:hAnsi="Times New Roman"/>
          <w:sz w:val="24"/>
          <w:szCs w:val="24"/>
        </w:rPr>
        <w:t>. It provides</w:t>
      </w:r>
      <w:r w:rsidR="00B661B8">
        <w:rPr>
          <w:rFonts w:ascii="Times New Roman" w:hAnsi="Times New Roman"/>
          <w:sz w:val="24"/>
          <w:szCs w:val="24"/>
        </w:rPr>
        <w:t xml:space="preserve"> for subsidies to employers offering job to asylum seekers, thus facilitating their entry into the labour market. </w:t>
      </w:r>
    </w:p>
    <w:p w14:paraId="621C1169" w14:textId="70CBC7E0"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lastRenderedPageBreak/>
        <w:t>107</w:t>
      </w:r>
      <w:r w:rsidR="00470827">
        <w:rPr>
          <w:rFonts w:ascii="Times New Roman" w:hAnsi="Times New Roman"/>
          <w:sz w:val="24"/>
          <w:szCs w:val="24"/>
        </w:rPr>
        <w:t>. In order t</w:t>
      </w:r>
      <w:r w:rsidR="00B661B8">
        <w:rPr>
          <w:rFonts w:ascii="Times New Roman" w:hAnsi="Times New Roman"/>
          <w:sz w:val="24"/>
          <w:szCs w:val="24"/>
        </w:rPr>
        <w:t>o better inform</w:t>
      </w:r>
      <w:proofErr w:type="gramEnd"/>
      <w:r w:rsidR="00B661B8">
        <w:rPr>
          <w:rFonts w:ascii="Times New Roman" w:hAnsi="Times New Roman"/>
          <w:sz w:val="24"/>
          <w:szCs w:val="24"/>
        </w:rPr>
        <w:t xml:space="preserve"> asylum seekers about their rights, obligations and procedures, a memo has been prepared and translated into seven languages (</w:t>
      </w:r>
      <w:hyperlink r:id="rId6" w:history="1">
        <w:r w:rsidR="00B661B8">
          <w:rPr>
            <w:rStyle w:val="Hyperlink"/>
            <w:rFonts w:ascii="Times New Roman" w:hAnsi="Times New Roman"/>
            <w:sz w:val="24"/>
            <w:szCs w:val="24"/>
          </w:rPr>
          <w:t>http://www.migracija.lt/index.php?-2140151560</w:t>
        </w:r>
      </w:hyperlink>
      <w:r w:rsidR="00B661B8">
        <w:rPr>
          <w:rFonts w:ascii="Times New Roman" w:hAnsi="Times New Roman"/>
          <w:sz w:val="24"/>
          <w:szCs w:val="24"/>
        </w:rPr>
        <w:t xml:space="preserve"> ), which is brought to the attention of persons that have applied for asylum. A new practice has </w:t>
      </w:r>
      <w:proofErr w:type="gramStart"/>
      <w:r w:rsidR="00B661B8">
        <w:rPr>
          <w:rFonts w:ascii="Times New Roman" w:hAnsi="Times New Roman"/>
          <w:sz w:val="24"/>
          <w:szCs w:val="24"/>
        </w:rPr>
        <w:t>emerged:</w:t>
      </w:r>
      <w:proofErr w:type="gramEnd"/>
      <w:r w:rsidR="00B661B8">
        <w:rPr>
          <w:rFonts w:ascii="Times New Roman" w:hAnsi="Times New Roman"/>
          <w:sz w:val="24"/>
          <w:szCs w:val="24"/>
        </w:rPr>
        <w:t xml:space="preserve"> asylum-related decisions in the official language shall contain the decision summary in the language that the asylum seeker can understand (currently - seven foreign languages). At the same time, asylum seekers are invited </w:t>
      </w:r>
      <w:r w:rsidR="00F45207">
        <w:rPr>
          <w:rFonts w:ascii="Times New Roman" w:hAnsi="Times New Roman"/>
          <w:sz w:val="24"/>
          <w:szCs w:val="24"/>
        </w:rPr>
        <w:t>(</w:t>
      </w:r>
      <w:r w:rsidR="00B661B8">
        <w:rPr>
          <w:rFonts w:ascii="Times New Roman" w:hAnsi="Times New Roman"/>
          <w:sz w:val="24"/>
          <w:szCs w:val="24"/>
        </w:rPr>
        <w:t>in the language that they can understand</w:t>
      </w:r>
      <w:r w:rsidR="00F45207">
        <w:rPr>
          <w:rFonts w:ascii="Times New Roman" w:hAnsi="Times New Roman"/>
          <w:sz w:val="24"/>
          <w:szCs w:val="24"/>
        </w:rPr>
        <w:t>)</w:t>
      </w:r>
      <w:r w:rsidR="00B661B8">
        <w:rPr>
          <w:rFonts w:ascii="Times New Roman" w:hAnsi="Times New Roman"/>
          <w:sz w:val="24"/>
          <w:szCs w:val="24"/>
        </w:rPr>
        <w:t xml:space="preserve"> to indicate in the decision itself whether they agree with it or want to appeal against it in the court, and whether they require state-guaranteed legal aid for this purpose. </w:t>
      </w:r>
    </w:p>
    <w:p w14:paraId="69D4D09E" w14:textId="12839988"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108</w:t>
      </w:r>
      <w:r w:rsidR="00B661B8">
        <w:rPr>
          <w:rFonts w:ascii="Times New Roman" w:hAnsi="Times New Roman"/>
          <w:sz w:val="24"/>
          <w:szCs w:val="24"/>
        </w:rPr>
        <w:t xml:space="preserve">. On </w:t>
      </w:r>
      <w:proofErr w:type="gramStart"/>
      <w:r w:rsidR="00B661B8">
        <w:rPr>
          <w:rFonts w:ascii="Times New Roman" w:hAnsi="Times New Roman"/>
          <w:sz w:val="24"/>
          <w:szCs w:val="24"/>
        </w:rPr>
        <w:t>8th</w:t>
      </w:r>
      <w:proofErr w:type="gramEnd"/>
      <w:r w:rsidR="00B661B8">
        <w:rPr>
          <w:rFonts w:ascii="Times New Roman" w:hAnsi="Times New Roman"/>
          <w:sz w:val="24"/>
          <w:szCs w:val="24"/>
        </w:rPr>
        <w:t xml:space="preserve"> of March 2017, the Government of the Republic of Lithuania passed Resolution No 171 approving the Procedure for the Accommodation of Asylum Seekers. The Resolution aims to establish the procedure for the accommodation of asylum seekers in accommodation premises and transitional accommodation, and preparation of transitional accommodation facilities. The procedure applies to vulnerable asylum seekers or in the cases of the absence of accommodation for asylum seekers in the Fo</w:t>
      </w:r>
      <w:r w:rsidR="00D41B49">
        <w:rPr>
          <w:rFonts w:ascii="Times New Roman" w:hAnsi="Times New Roman"/>
          <w:sz w:val="24"/>
          <w:szCs w:val="24"/>
        </w:rPr>
        <w:t>reigners’ Registration Centre (here and after referred to as FRC</w:t>
      </w:r>
      <w:r w:rsidR="00B661B8">
        <w:rPr>
          <w:rFonts w:ascii="Times New Roman" w:hAnsi="Times New Roman"/>
          <w:sz w:val="24"/>
          <w:szCs w:val="24"/>
        </w:rPr>
        <w:t xml:space="preserve">). The new regulation provides for a more flexible handling of the numbers of asylum seekers and their accommodation in other than the FRC accommodation premises for the period of examination of asylum application. </w:t>
      </w:r>
    </w:p>
    <w:p w14:paraId="245437AF" w14:textId="09FE6E8B"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109</w:t>
      </w:r>
      <w:r w:rsidR="00B661B8">
        <w:rPr>
          <w:rFonts w:ascii="Times New Roman" w:hAnsi="Times New Roman"/>
          <w:sz w:val="24"/>
          <w:szCs w:val="24"/>
        </w:rPr>
        <w:t xml:space="preserve">. In consideration of the needs of the persons staying at the FRC, who refuse to eat a particular food because of their religious beliefs, alternative food arrangements for adults and minors staying at FRC </w:t>
      </w:r>
      <w:proofErr w:type="gramStart"/>
      <w:r w:rsidR="00B661B8">
        <w:rPr>
          <w:rFonts w:ascii="Times New Roman" w:hAnsi="Times New Roman"/>
          <w:sz w:val="24"/>
          <w:szCs w:val="24"/>
        </w:rPr>
        <w:t>have been provided for</w:t>
      </w:r>
      <w:proofErr w:type="gramEnd"/>
      <w:r w:rsidR="00B661B8">
        <w:rPr>
          <w:rFonts w:ascii="Times New Roman" w:hAnsi="Times New Roman"/>
          <w:sz w:val="24"/>
          <w:szCs w:val="24"/>
        </w:rPr>
        <w:t xml:space="preserve"> by the order of the Minister of the Interior of 15 January 2015. It </w:t>
      </w:r>
      <w:proofErr w:type="gramStart"/>
      <w:r w:rsidR="00B661B8">
        <w:rPr>
          <w:rFonts w:ascii="Times New Roman" w:hAnsi="Times New Roman"/>
          <w:sz w:val="24"/>
          <w:szCs w:val="24"/>
        </w:rPr>
        <w:t>should be noted</w:t>
      </w:r>
      <w:proofErr w:type="gramEnd"/>
      <w:r w:rsidR="00B661B8">
        <w:rPr>
          <w:rFonts w:ascii="Times New Roman" w:hAnsi="Times New Roman"/>
          <w:sz w:val="24"/>
          <w:szCs w:val="24"/>
        </w:rPr>
        <w:t xml:space="preserve"> that there is a FRC social worker that provides social services to asylum seekers in accordance with the plan that includes holiday arrangements, thematic evenings, quizzes and board games, either for specific ethnic groups or for all the foreigners. At the request of </w:t>
      </w:r>
      <w:r w:rsidR="00781416">
        <w:rPr>
          <w:rFonts w:ascii="Times New Roman" w:hAnsi="Times New Roman"/>
          <w:sz w:val="24"/>
          <w:szCs w:val="24"/>
        </w:rPr>
        <w:t>asylum seekers</w:t>
      </w:r>
      <w:r w:rsidR="00B661B8">
        <w:rPr>
          <w:rFonts w:ascii="Times New Roman" w:hAnsi="Times New Roman"/>
          <w:sz w:val="24"/>
          <w:szCs w:val="24"/>
        </w:rPr>
        <w:t>, the FRC organises meetings with representatives of various religious denominations.</w:t>
      </w:r>
    </w:p>
    <w:p w14:paraId="4DE8F8D5" w14:textId="77777777" w:rsidR="00B661B8"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 xml:space="preserve">Taking into account its general recommendations No. 30 and No. 25, the Committee recommends that the State party: </w:t>
      </w:r>
    </w:p>
    <w:p w14:paraId="7D9EEF6C" w14:textId="77777777" w:rsidR="00B661B8"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 xml:space="preserve">(a) </w:t>
      </w:r>
      <w:proofErr w:type="gramStart"/>
      <w:r>
        <w:rPr>
          <w:rFonts w:ascii="Times New Roman" w:hAnsi="Times New Roman"/>
          <w:i/>
          <w:sz w:val="24"/>
          <w:szCs w:val="24"/>
        </w:rPr>
        <w:t>take</w:t>
      </w:r>
      <w:proofErr w:type="gramEnd"/>
      <w:r>
        <w:rPr>
          <w:rFonts w:ascii="Times New Roman" w:hAnsi="Times New Roman"/>
          <w:i/>
          <w:sz w:val="24"/>
          <w:szCs w:val="24"/>
        </w:rPr>
        <w:t xml:space="preserve"> effective measures to prevent human trafficking, in particular of women and girls, including effective enforcement of its anti-trafficking legislation and enhancement of international cooperation to combat trafficking; </w:t>
      </w:r>
    </w:p>
    <w:p w14:paraId="5553FF97" w14:textId="7A78F853"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110</w:t>
      </w:r>
      <w:r w:rsidR="00CB28DA">
        <w:rPr>
          <w:rFonts w:ascii="Times New Roman" w:hAnsi="Times New Roman"/>
          <w:sz w:val="24"/>
          <w:szCs w:val="24"/>
        </w:rPr>
        <w:t xml:space="preserve">. The CC provides </w:t>
      </w:r>
      <w:r w:rsidR="00B661B8">
        <w:rPr>
          <w:rFonts w:ascii="Times New Roman" w:hAnsi="Times New Roman"/>
          <w:sz w:val="24"/>
          <w:szCs w:val="24"/>
        </w:rPr>
        <w:t>criminal liability for crimes against human liberty (Chapter XX: Art. 147 - trafficking in human beings; Art. 147</w:t>
      </w:r>
      <w:r w:rsidR="00B661B8">
        <w:rPr>
          <w:rFonts w:ascii="Times New Roman" w:hAnsi="Times New Roman"/>
          <w:sz w:val="24"/>
          <w:szCs w:val="24"/>
          <w:vertAlign w:val="superscript"/>
        </w:rPr>
        <w:t>1</w:t>
      </w:r>
      <w:r w:rsidR="00B661B8">
        <w:rPr>
          <w:rFonts w:ascii="Times New Roman" w:hAnsi="Times New Roman"/>
          <w:sz w:val="24"/>
          <w:szCs w:val="24"/>
        </w:rPr>
        <w:t xml:space="preserve"> - use of forced labour or services; Art. 147</w:t>
      </w:r>
      <w:r w:rsidR="00B661B8">
        <w:rPr>
          <w:rFonts w:ascii="Times New Roman" w:hAnsi="Times New Roman"/>
          <w:sz w:val="24"/>
          <w:szCs w:val="24"/>
          <w:vertAlign w:val="superscript"/>
        </w:rPr>
        <w:t>2</w:t>
      </w:r>
      <w:r w:rsidR="001601D9">
        <w:rPr>
          <w:rFonts w:ascii="Times New Roman" w:hAnsi="Times New Roman"/>
          <w:sz w:val="24"/>
          <w:szCs w:val="24"/>
          <w:vertAlign w:val="superscript"/>
        </w:rPr>
        <w:t xml:space="preserve"> </w:t>
      </w:r>
      <w:r w:rsidR="00B661B8">
        <w:rPr>
          <w:rFonts w:ascii="Times New Roman" w:hAnsi="Times New Roman"/>
          <w:sz w:val="24"/>
          <w:szCs w:val="24"/>
        </w:rPr>
        <w:t>- use of a person’s forced labour or services) and crimes against a child and a family (Chapter XXVIII: Art. 157 - purchase or sale of a child).</w:t>
      </w:r>
    </w:p>
    <w:p w14:paraId="1281195A" w14:textId="69EC7FDB"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111</w:t>
      </w:r>
      <w:r w:rsidR="00B661B8">
        <w:rPr>
          <w:rFonts w:ascii="Times New Roman" w:hAnsi="Times New Roman"/>
          <w:sz w:val="24"/>
          <w:szCs w:val="24"/>
        </w:rPr>
        <w:t xml:space="preserve">. In 2012, the </w:t>
      </w:r>
      <w:proofErr w:type="spellStart"/>
      <w:r w:rsidR="00B661B8">
        <w:rPr>
          <w:rFonts w:ascii="Times New Roman" w:hAnsi="Times New Roman"/>
          <w:sz w:val="24"/>
          <w:szCs w:val="24"/>
        </w:rPr>
        <w:t>Seimas</w:t>
      </w:r>
      <w:proofErr w:type="spellEnd"/>
      <w:r w:rsidR="00B661B8">
        <w:rPr>
          <w:rFonts w:ascii="Times New Roman" w:hAnsi="Times New Roman"/>
          <w:sz w:val="24"/>
          <w:szCs w:val="24"/>
        </w:rPr>
        <w:t xml:space="preserve"> ratified the Council of Europe Convention on Action against Trafficking in Human Beings. </w:t>
      </w:r>
      <w:proofErr w:type="gramStart"/>
      <w:r w:rsidR="00B661B8">
        <w:rPr>
          <w:rFonts w:ascii="Times New Roman" w:hAnsi="Times New Roman"/>
          <w:sz w:val="24"/>
          <w:szCs w:val="24"/>
        </w:rPr>
        <w:t>To properly implement</w:t>
      </w:r>
      <w:proofErr w:type="gramEnd"/>
      <w:r w:rsidR="00B661B8">
        <w:rPr>
          <w:rFonts w:ascii="Times New Roman" w:hAnsi="Times New Roman"/>
          <w:sz w:val="24"/>
          <w:szCs w:val="24"/>
        </w:rPr>
        <w:t xml:space="preserve"> the provisions of this Convention and to increase the effectiveness of anti-trafficking measures, relevant amendments to the Criminal Code have been made. According to these amendments, trafficking in human beings and the purchase or sale of children is now criminalized not only when it is done for the purpose of exploitation for prostitution, pornography or other forms of sexual exploitation, slavery, forced labour or services, but also for any other purposes of exploitation, including exploitation for begging or criminal activity. The criminal law now explicitly states that the victim’s consent shall not remove personal liability for trafficking for exploitation purposes. </w:t>
      </w:r>
      <w:proofErr w:type="gramStart"/>
      <w:r w:rsidR="00B661B8">
        <w:rPr>
          <w:rFonts w:ascii="Times New Roman" w:hAnsi="Times New Roman"/>
          <w:sz w:val="24"/>
          <w:szCs w:val="24"/>
        </w:rPr>
        <w:t xml:space="preserve">In addition, criminal liability has been provided for the use of work or services of a person who is a victim of trafficking in human beings, including prostitution, where the perpetrator knew or ought to and could have known that the person was performing the work or </w:t>
      </w:r>
      <w:r w:rsidR="00B661B8">
        <w:rPr>
          <w:rFonts w:ascii="Times New Roman" w:hAnsi="Times New Roman"/>
          <w:sz w:val="24"/>
          <w:szCs w:val="24"/>
        </w:rPr>
        <w:lastRenderedPageBreak/>
        <w:t>services because he/she had been subjected to physical violence, threats, deception or other methods of subjugation for exploitative purposes.</w:t>
      </w:r>
      <w:proofErr w:type="gramEnd"/>
    </w:p>
    <w:p w14:paraId="7DB64ED5" w14:textId="7D4BA7AA"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112</w:t>
      </w:r>
      <w:r w:rsidR="00B661B8">
        <w:rPr>
          <w:rFonts w:ascii="Times New Roman" w:hAnsi="Times New Roman"/>
          <w:sz w:val="24"/>
          <w:szCs w:val="24"/>
        </w:rPr>
        <w:t>. Order No I-318 of the Prosecutor General of the Republic of Lithuania of 30 October 2012 (as recast by Order No I-68 of the Prosecutor General of 7 July 2017) has approved recommendations on the specialisation of prosecutors in criminal proceedings, distribution of pre-trial investigations, criminal court case</w:t>
      </w:r>
      <w:r w:rsidR="00E64E18">
        <w:rPr>
          <w:rFonts w:ascii="Times New Roman" w:hAnsi="Times New Roman"/>
          <w:sz w:val="24"/>
          <w:szCs w:val="24"/>
        </w:rPr>
        <w:t xml:space="preserve">s and complaints to prosecutors. </w:t>
      </w:r>
      <w:proofErr w:type="gramStart"/>
      <w:r w:rsidR="00E64E18">
        <w:rPr>
          <w:rFonts w:ascii="Times New Roman" w:hAnsi="Times New Roman"/>
          <w:sz w:val="24"/>
          <w:szCs w:val="24"/>
        </w:rPr>
        <w:t>Recommendations described</w:t>
      </w:r>
      <w:r w:rsidR="00B661B8">
        <w:rPr>
          <w:rFonts w:ascii="Times New Roman" w:hAnsi="Times New Roman"/>
          <w:sz w:val="24"/>
          <w:szCs w:val="24"/>
        </w:rPr>
        <w:t xml:space="preserve"> the specialisation of the prosecutors of the Office of the Prosecutor General of the Republic of Lithuania, district prosecutor’s offices and their departments in criminal proceedings, the duties of chief prosecutors as regards the implementation of the specialisation of prosecutors, the distribution of pre-trial investigations, criminal court cases and complaints to prosecutors, as well as the procedure for resolving the issues with materially different positions of prosecutors, and duties and rights of specialising prosecutors.</w:t>
      </w:r>
      <w:proofErr w:type="gramEnd"/>
      <w:r w:rsidR="00B661B8">
        <w:rPr>
          <w:rFonts w:ascii="Times New Roman" w:hAnsi="Times New Roman"/>
          <w:sz w:val="24"/>
          <w:szCs w:val="24"/>
        </w:rPr>
        <w:t xml:space="preserve"> These recommendations stipulate that prosecutors specialise, among other things, in cases of crimes against human life and health, other violent offences, offences against the freedom of person’s sexual self-determination and integrity, against the child and the family, trafficking in human beings, exploitation of forced labour or services, engaging persons in prostitution and profit from other person’s prostitution.</w:t>
      </w:r>
    </w:p>
    <w:p w14:paraId="55FB49F9" w14:textId="216FE469"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113</w:t>
      </w:r>
      <w:r w:rsidR="00B661B8">
        <w:rPr>
          <w:rFonts w:ascii="Times New Roman" w:hAnsi="Times New Roman"/>
          <w:sz w:val="24"/>
          <w:szCs w:val="24"/>
        </w:rPr>
        <w:t xml:space="preserve">. The recommendations approved in 2015 through a </w:t>
      </w:r>
      <w:r w:rsidR="005F5E94">
        <w:rPr>
          <w:rFonts w:ascii="Times New Roman" w:hAnsi="Times New Roman"/>
          <w:sz w:val="24"/>
          <w:szCs w:val="24"/>
        </w:rPr>
        <w:t>joint order of the Ministers of</w:t>
      </w:r>
      <w:r w:rsidR="00B661B8">
        <w:rPr>
          <w:rFonts w:ascii="Times New Roman" w:hAnsi="Times New Roman"/>
          <w:sz w:val="24"/>
          <w:szCs w:val="24"/>
        </w:rPr>
        <w:t xml:space="preserve"> the Interior and the Social Security and Labour and the Prosecutor General, aim at improving the quality of pre-trial investigation of trafficking in human beings and ensuring better assistance to victims of trafficking in human beings. The main non-governmental organisations </w:t>
      </w:r>
      <w:proofErr w:type="gramStart"/>
      <w:r w:rsidR="00B661B8">
        <w:rPr>
          <w:rFonts w:ascii="Times New Roman" w:hAnsi="Times New Roman"/>
          <w:sz w:val="24"/>
          <w:szCs w:val="24"/>
        </w:rPr>
        <w:t>providing assistance to</w:t>
      </w:r>
      <w:proofErr w:type="gramEnd"/>
      <w:r w:rsidR="00B661B8">
        <w:rPr>
          <w:rFonts w:ascii="Times New Roman" w:hAnsi="Times New Roman"/>
          <w:sz w:val="24"/>
          <w:szCs w:val="24"/>
        </w:rPr>
        <w:t xml:space="preserve"> victims of trafficking have signed a declaration of cooperation, thus endorsing the above-mentioned recommendations and pledging to them.</w:t>
      </w:r>
    </w:p>
    <w:p w14:paraId="2451B465" w14:textId="37993CBF"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114</w:t>
      </w:r>
      <w:r w:rsidR="00B661B8">
        <w:rPr>
          <w:rFonts w:ascii="Times New Roman" w:hAnsi="Times New Roman"/>
          <w:sz w:val="24"/>
          <w:szCs w:val="24"/>
        </w:rPr>
        <w:t>. In 2016, conditions were created to strengthen the fight against trafficking in human beings, ensure a more effective involvement of competent institutions and bodies, municipalities, non-governmental organisations and the church, planning and coordination of activities, and monitoring of the progress, formation of new practices: an inter-agency and cross-sectoral Commission on the Coordination of Trafficking in Human Beings has been set up; Inter-institutional Action Plan for Anti-Trafficking in Human Beings 2017-2019 was approved providing for closer inter-institutional and cross-sectoral national and municipal cooperation and coordination, strengthened measures of monitoring and prevention (publicity campaigns, measures targeting social risk groups and children, etc.), prosecution, ensured assistance to victims and potential victims of trafficking, training for professionals across various fields on detecting trafficking in human beings, conducting such investigations, and assisting victims of the crime.</w:t>
      </w:r>
      <w:proofErr w:type="gramEnd"/>
    </w:p>
    <w:p w14:paraId="6D823F7C" w14:textId="5C154761" w:rsidR="00B661B8" w:rsidRPr="00502F80" w:rsidRDefault="001515BD"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115</w:t>
      </w:r>
      <w:r w:rsidR="00B661B8">
        <w:rPr>
          <w:rFonts w:ascii="Times New Roman" w:hAnsi="Times New Roman"/>
          <w:sz w:val="24"/>
          <w:szCs w:val="24"/>
        </w:rPr>
        <w:t>. In 2017, for the purpose of implementing the measures and actions under the Plan, the Office of the Prosecutor General, in cooperation with the representatives of the Ministry of the Interior, the Ministry of Social Security and Labour, the State Child Rights Protection and Adoption Service under the Ministry of Social Security and Labour and the State Labour Inspectorate, has carried out the assessment of the practice of applying the recommendations approved in 2015 by a joint order of the Ministers for the Interior and the Social Security and Labour and the Prosecutor General; initiated bilateral meetings between Lithuanian and the United Kingdom professionals to share information and exchange</w:t>
      </w:r>
      <w:r w:rsidR="00781416">
        <w:rPr>
          <w:rFonts w:ascii="Times New Roman" w:hAnsi="Times New Roman"/>
          <w:sz w:val="24"/>
          <w:szCs w:val="24"/>
        </w:rPr>
        <w:t xml:space="preserve"> of</w:t>
      </w:r>
      <w:r w:rsidR="00B661B8">
        <w:rPr>
          <w:rFonts w:ascii="Times New Roman" w:hAnsi="Times New Roman"/>
          <w:sz w:val="24"/>
          <w:szCs w:val="24"/>
        </w:rPr>
        <w:t xml:space="preserve"> experience in anti-trafficking in human beings; participated in the anti-trafficking initiatives of the EU institutions and agencies and other international organisations.</w:t>
      </w:r>
      <w:proofErr w:type="gramEnd"/>
    </w:p>
    <w:p w14:paraId="38CA6C1D" w14:textId="77777777" w:rsidR="00B661B8"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(b) investigate effectively all cases of human trafficking, prosecute, as appropriate, those responsible and provide redress and support to victims;</w:t>
      </w:r>
    </w:p>
    <w:p w14:paraId="48A255F3" w14:textId="1AB9EF63"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lastRenderedPageBreak/>
        <w:t>116</w:t>
      </w:r>
      <w:r w:rsidR="00B661B8">
        <w:rPr>
          <w:rFonts w:ascii="Times New Roman" w:hAnsi="Times New Roman"/>
          <w:sz w:val="24"/>
          <w:szCs w:val="24"/>
        </w:rPr>
        <w:t>. It is noteworthy that recent years have witnessed the disclosure of various forms of trafficking in human beings (trafficking in human beings for criminal offences, prostitution, forced labour, forced marriages, pornography) and the annually growing number of disclosed crimes of trafficking in human beings: in 2016, 29 pre-trial investigations of trafficking in human beings were registered, in 2015 - 27, in 2014 - 24, in 2013 - 23, in 2012 - 11.</w:t>
      </w:r>
      <w:proofErr w:type="gramEnd"/>
      <w:r w:rsidR="00B661B8">
        <w:rPr>
          <w:rFonts w:ascii="Times New Roman" w:hAnsi="Times New Roman"/>
          <w:sz w:val="24"/>
          <w:szCs w:val="24"/>
        </w:rPr>
        <w:t xml:space="preserve"> </w:t>
      </w:r>
      <w:proofErr w:type="gramStart"/>
      <w:r w:rsidR="00B661B8">
        <w:rPr>
          <w:rFonts w:ascii="Times New Roman" w:hAnsi="Times New Roman"/>
          <w:sz w:val="24"/>
          <w:szCs w:val="24"/>
        </w:rPr>
        <w:t>In 2016, 52 persons were identified in pre-trial investigations as victims of trafficking in human beings and exploitation of forced labour or services (62 in 2015, 47 in 2014, 78 in 2013, 14 in 2012), charges</w:t>
      </w:r>
      <w:r w:rsidR="00247C94">
        <w:rPr>
          <w:rFonts w:ascii="Times New Roman" w:hAnsi="Times New Roman"/>
          <w:sz w:val="24"/>
          <w:szCs w:val="24"/>
        </w:rPr>
        <w:t xml:space="preserve"> were</w:t>
      </w:r>
      <w:r w:rsidR="00B661B8">
        <w:rPr>
          <w:rFonts w:ascii="Times New Roman" w:hAnsi="Times New Roman"/>
          <w:sz w:val="24"/>
          <w:szCs w:val="24"/>
        </w:rPr>
        <w:t xml:space="preserve"> made against 67 persons (53 in 2015, 40 in 2014, 68 in 2013, 25 in 2012), 23 persons were convicted in courts of first instance (14 in 2015, 18 in 2014, 11 in 2013, 7 in 2012).</w:t>
      </w:r>
      <w:proofErr w:type="gramEnd"/>
      <w:r w:rsidR="001601D9">
        <w:rPr>
          <w:rFonts w:ascii="Times New Roman" w:hAnsi="Times New Roman"/>
          <w:sz w:val="24"/>
          <w:szCs w:val="24"/>
        </w:rPr>
        <w:t xml:space="preserve"> </w:t>
      </w:r>
      <w:r w:rsidR="00B661B8">
        <w:rPr>
          <w:rFonts w:ascii="Times New Roman" w:hAnsi="Times New Roman"/>
          <w:sz w:val="24"/>
          <w:szCs w:val="24"/>
        </w:rPr>
        <w:t xml:space="preserve">It is notable that </w:t>
      </w:r>
      <w:r w:rsidR="00247C94">
        <w:rPr>
          <w:rFonts w:ascii="Times New Roman" w:hAnsi="Times New Roman"/>
          <w:sz w:val="24"/>
          <w:szCs w:val="24"/>
        </w:rPr>
        <w:t>2013-2016</w:t>
      </w:r>
      <w:r w:rsidR="00B661B8">
        <w:rPr>
          <w:rFonts w:ascii="Times New Roman" w:hAnsi="Times New Roman"/>
          <w:sz w:val="24"/>
          <w:szCs w:val="24"/>
        </w:rPr>
        <w:t xml:space="preserve">, most pre-trial investigations </w:t>
      </w:r>
      <w:proofErr w:type="gramStart"/>
      <w:r w:rsidR="00B661B8">
        <w:rPr>
          <w:rFonts w:ascii="Times New Roman" w:hAnsi="Times New Roman"/>
          <w:sz w:val="24"/>
          <w:szCs w:val="24"/>
        </w:rPr>
        <w:t>were launched</w:t>
      </w:r>
      <w:proofErr w:type="gramEnd"/>
      <w:r w:rsidR="00B661B8">
        <w:rPr>
          <w:rFonts w:ascii="Times New Roman" w:hAnsi="Times New Roman"/>
          <w:sz w:val="24"/>
          <w:szCs w:val="24"/>
        </w:rPr>
        <w:t xml:space="preserve"> on trafficking in human beings for non-sexual exploitation.</w:t>
      </w:r>
    </w:p>
    <w:p w14:paraId="16C814B6" w14:textId="2EEF8DD7"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117</w:t>
      </w:r>
      <w:r w:rsidR="00B661B8">
        <w:rPr>
          <w:rFonts w:ascii="Times New Roman" w:hAnsi="Times New Roman"/>
          <w:sz w:val="24"/>
          <w:szCs w:val="24"/>
        </w:rPr>
        <w:t>. According to the Integrated Criminal Justice System, 26 pre-trial investigations of trafficking in human beings were registered from 1 January 2017 to 30 September 2017, including: 1 pre-trial investigation completed and referred to criminal proceedings in court, 2 pre-trial investigations terminated in the absence of criminal offence (CCP, Art. 212 (1), Article 3 (1)(1). As regards the remaining 23, the pre-trial investigation continues.</w:t>
      </w:r>
    </w:p>
    <w:p w14:paraId="14CF3DE5" w14:textId="3522914E" w:rsidR="00B661B8"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118</w:t>
      </w:r>
      <w:r w:rsidR="00B661B8">
        <w:rPr>
          <w:rFonts w:ascii="Times New Roman" w:hAnsi="Times New Roman"/>
          <w:sz w:val="24"/>
          <w:szCs w:val="24"/>
        </w:rPr>
        <w:t xml:space="preserve">. It needs to </w:t>
      </w:r>
      <w:proofErr w:type="gramStart"/>
      <w:r w:rsidR="00B661B8">
        <w:rPr>
          <w:rFonts w:ascii="Times New Roman" w:hAnsi="Times New Roman"/>
          <w:sz w:val="24"/>
          <w:szCs w:val="24"/>
        </w:rPr>
        <w:t>be noted</w:t>
      </w:r>
      <w:proofErr w:type="gramEnd"/>
      <w:r w:rsidR="00B661B8">
        <w:rPr>
          <w:rFonts w:ascii="Times New Roman" w:hAnsi="Times New Roman"/>
          <w:sz w:val="24"/>
          <w:szCs w:val="24"/>
        </w:rPr>
        <w:t xml:space="preserve"> that the Office of the Prosecutor makes regular efforts to increase the quality of pre-trial investigations of this category through meetings with pre-trial investigation institutions and prosecutors. The close cooperation with non-governmental organisations aims at ensuring the protection of victims of trafficking in human beings, their active participation in pre-trial investigation and judicial </w:t>
      </w:r>
      <w:r w:rsidR="000F473D">
        <w:rPr>
          <w:rFonts w:ascii="Times New Roman" w:hAnsi="Times New Roman"/>
          <w:sz w:val="24"/>
          <w:szCs w:val="24"/>
        </w:rPr>
        <w:t xml:space="preserve">proceedings. </w:t>
      </w:r>
      <w:proofErr w:type="gramStart"/>
      <w:r w:rsidR="000F473D">
        <w:rPr>
          <w:rFonts w:ascii="Times New Roman" w:hAnsi="Times New Roman"/>
          <w:sz w:val="24"/>
          <w:szCs w:val="24"/>
        </w:rPr>
        <w:t>P</w:t>
      </w:r>
      <w:r w:rsidR="00B661B8">
        <w:rPr>
          <w:rFonts w:ascii="Times New Roman" w:hAnsi="Times New Roman"/>
          <w:sz w:val="24"/>
          <w:szCs w:val="24"/>
        </w:rPr>
        <w:t>lans are</w:t>
      </w:r>
      <w:r w:rsidR="000F473D">
        <w:rPr>
          <w:rFonts w:ascii="Times New Roman" w:hAnsi="Times New Roman"/>
          <w:sz w:val="24"/>
          <w:szCs w:val="24"/>
        </w:rPr>
        <w:t xml:space="preserve"> made in the nearest future</w:t>
      </w:r>
      <w:r w:rsidR="00B661B8">
        <w:rPr>
          <w:rFonts w:ascii="Times New Roman" w:hAnsi="Times New Roman"/>
          <w:sz w:val="24"/>
          <w:szCs w:val="24"/>
        </w:rPr>
        <w:t xml:space="preserve"> to check prosecutors’ decisions of terminating or refusing to launch the pre-trial investigations of criminal offences of this category, and to make an overview of such decisions, and having found the violations of procedure and/or legal classification of criminal offences, to take appropriate decisions at the higher level of prosecutors, and to document the response.</w:t>
      </w:r>
      <w:proofErr w:type="gramEnd"/>
    </w:p>
    <w:p w14:paraId="6D86415F" w14:textId="01B6A759" w:rsidR="00B661B8" w:rsidRDefault="001515BD"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119</w:t>
      </w:r>
      <w:r w:rsidR="00B661B8">
        <w:rPr>
          <w:rFonts w:ascii="Times New Roman" w:hAnsi="Times New Roman"/>
          <w:sz w:val="24"/>
          <w:szCs w:val="24"/>
        </w:rPr>
        <w:t xml:space="preserve">. In order to </w:t>
      </w:r>
      <w:r w:rsidR="00085E69">
        <w:rPr>
          <w:rFonts w:ascii="Times New Roman" w:hAnsi="Times New Roman"/>
          <w:sz w:val="24"/>
          <w:szCs w:val="24"/>
        </w:rPr>
        <w:t>reduce</w:t>
      </w:r>
      <w:r w:rsidR="00B661B8">
        <w:rPr>
          <w:rFonts w:ascii="Times New Roman" w:hAnsi="Times New Roman"/>
          <w:sz w:val="24"/>
          <w:szCs w:val="24"/>
        </w:rPr>
        <w:t xml:space="preserve"> the so-called additional victimization and ensure that trial participants (especially victims and witnesses) feel safer in court and suffer less stress, the courts have implemented integrated psychological and </w:t>
      </w:r>
      <w:r w:rsidR="00B661B8">
        <w:rPr>
          <w:rFonts w:ascii="Times New Roman" w:hAnsi="Times New Roman"/>
          <w:i/>
          <w:sz w:val="24"/>
          <w:szCs w:val="24"/>
        </w:rPr>
        <w:t>physical security measures</w:t>
      </w:r>
      <w:r w:rsidR="00B661B8">
        <w:rPr>
          <w:rFonts w:ascii="Times New Roman" w:hAnsi="Times New Roman"/>
          <w:sz w:val="24"/>
          <w:szCs w:val="24"/>
        </w:rPr>
        <w:t xml:space="preserve"> by establishing a Lithuanian Courts Volunteer Service, issuing publications and videos</w:t>
      </w:r>
      <w:r w:rsidR="00D6144D">
        <w:rPr>
          <w:rFonts w:ascii="Times New Roman" w:hAnsi="Times New Roman"/>
          <w:sz w:val="24"/>
          <w:szCs w:val="24"/>
        </w:rPr>
        <w:t xml:space="preserve"> with guidelines</w:t>
      </w:r>
      <w:r w:rsidR="00B661B8">
        <w:rPr>
          <w:rFonts w:ascii="Times New Roman" w:hAnsi="Times New Roman"/>
          <w:sz w:val="24"/>
          <w:szCs w:val="24"/>
        </w:rPr>
        <w:t xml:space="preserve"> for victims and witnesses, as well as guides for helping volunteers and other court personnel, by equipping courts with video surveillance, alarm (message) systems, video-conferencing software (enabling remote interviews of the participants of the case, </w:t>
      </w:r>
      <w:r w:rsidR="007567F6">
        <w:rPr>
          <w:rFonts w:ascii="Times New Roman" w:hAnsi="Times New Roman"/>
          <w:sz w:val="24"/>
          <w:szCs w:val="24"/>
        </w:rPr>
        <w:t>i.e.</w:t>
      </w:r>
      <w:r w:rsidR="00B661B8">
        <w:rPr>
          <w:rFonts w:ascii="Times New Roman" w:hAnsi="Times New Roman"/>
          <w:sz w:val="24"/>
          <w:szCs w:val="24"/>
        </w:rPr>
        <w:t xml:space="preserve">, when the victim or the witness is spared of repeatedly seeing the perpetrator), by reinforcing minors’ procedural guarantees (the courts have </w:t>
      </w:r>
      <w:r w:rsidR="000C0FB9">
        <w:rPr>
          <w:rFonts w:ascii="Times New Roman" w:hAnsi="Times New Roman"/>
          <w:sz w:val="24"/>
          <w:szCs w:val="24"/>
        </w:rPr>
        <w:t>hired more psychologists</w:t>
      </w:r>
      <w:r w:rsidR="00B661B8">
        <w:rPr>
          <w:rFonts w:ascii="Times New Roman" w:hAnsi="Times New Roman"/>
          <w:sz w:val="24"/>
          <w:szCs w:val="24"/>
        </w:rPr>
        <w:t>, the majority of courts have provided for rooms for juvenile questioning with a constantly improving environment), as well as by providing methodological assistance to courts in providing for security in courts by other means.</w:t>
      </w:r>
      <w:proofErr w:type="gramEnd"/>
    </w:p>
    <w:p w14:paraId="5286C8C8" w14:textId="1EEE0D19" w:rsidR="00B661B8" w:rsidRPr="00E96FB5" w:rsidRDefault="001515BD" w:rsidP="00E96FB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120</w:t>
      </w:r>
      <w:r w:rsidR="00B661B8">
        <w:rPr>
          <w:rFonts w:ascii="Times New Roman" w:hAnsi="Times New Roman"/>
          <w:sz w:val="24"/>
          <w:szCs w:val="24"/>
        </w:rPr>
        <w:t xml:space="preserve">. In </w:t>
      </w:r>
      <w:r w:rsidR="00E96FB5">
        <w:rPr>
          <w:rFonts w:ascii="Times New Roman" w:hAnsi="Times New Roman"/>
          <w:sz w:val="24"/>
          <w:szCs w:val="24"/>
        </w:rPr>
        <w:t xml:space="preserve">the combined sixth, seventh and </w:t>
      </w:r>
      <w:r w:rsidR="00E96FB5" w:rsidRPr="00E96FB5">
        <w:rPr>
          <w:rFonts w:ascii="Times New Roman" w:hAnsi="Times New Roman"/>
          <w:sz w:val="24"/>
          <w:szCs w:val="24"/>
        </w:rPr>
        <w:t>eighth periodic reports</w:t>
      </w:r>
      <w:r w:rsidR="00B661B8">
        <w:rPr>
          <w:rFonts w:ascii="Times New Roman" w:hAnsi="Times New Roman"/>
          <w:sz w:val="24"/>
          <w:szCs w:val="24"/>
        </w:rPr>
        <w:t>, Lithuania provided general information on the possibilities of state-guaranteed legal aid to victims of crime against freedom of conscience.</w:t>
      </w:r>
      <w:r w:rsidR="001601D9">
        <w:rPr>
          <w:rFonts w:ascii="Times New Roman" w:hAnsi="Times New Roman"/>
          <w:sz w:val="24"/>
          <w:szCs w:val="24"/>
        </w:rPr>
        <w:t xml:space="preserve"> </w:t>
      </w:r>
      <w:proofErr w:type="gramStart"/>
      <w:r w:rsidR="00B661B8">
        <w:rPr>
          <w:rFonts w:ascii="Times New Roman" w:hAnsi="Times New Roman"/>
          <w:sz w:val="24"/>
          <w:szCs w:val="24"/>
        </w:rPr>
        <w:t>We would like to add that until 2014, the secondary legal aid was provided only by lawyers included in the lists of lawyers providing secondary legal aid, while since 2014, following the enactment of the amendments to the Law on State-guaranteed Legal Aid, individuals have been free to choose any lawyer practising in Lithuania and</w:t>
      </w:r>
      <w:r w:rsidR="00614815">
        <w:rPr>
          <w:rFonts w:ascii="Times New Roman" w:hAnsi="Times New Roman"/>
          <w:sz w:val="24"/>
          <w:szCs w:val="24"/>
        </w:rPr>
        <w:t xml:space="preserve"> have an</w:t>
      </w:r>
      <w:r w:rsidR="00B661B8">
        <w:rPr>
          <w:rFonts w:ascii="Times New Roman" w:hAnsi="Times New Roman"/>
          <w:sz w:val="24"/>
          <w:szCs w:val="24"/>
        </w:rPr>
        <w:t xml:space="preserve"> agree</w:t>
      </w:r>
      <w:r w:rsidR="00614815">
        <w:rPr>
          <w:rFonts w:ascii="Times New Roman" w:hAnsi="Times New Roman"/>
          <w:sz w:val="24"/>
          <w:szCs w:val="24"/>
        </w:rPr>
        <w:t>ment with him/her for</w:t>
      </w:r>
      <w:r w:rsidR="00B661B8">
        <w:rPr>
          <w:rFonts w:ascii="Times New Roman" w:hAnsi="Times New Roman"/>
          <w:sz w:val="24"/>
          <w:szCs w:val="24"/>
        </w:rPr>
        <w:t xml:space="preserve"> secondary legal aid.</w:t>
      </w:r>
      <w:proofErr w:type="gramEnd"/>
      <w:r w:rsidR="00B661B8">
        <w:rPr>
          <w:rFonts w:ascii="Times New Roman" w:hAnsi="Times New Roman"/>
          <w:sz w:val="24"/>
          <w:szCs w:val="24"/>
        </w:rPr>
        <w:t xml:space="preserve"> In such a case, the State-guaranteed legal aid service </w:t>
      </w:r>
      <w:r w:rsidR="00E52C27">
        <w:rPr>
          <w:rFonts w:ascii="Times New Roman" w:hAnsi="Times New Roman"/>
          <w:sz w:val="24"/>
          <w:szCs w:val="24"/>
        </w:rPr>
        <w:t>enters into a contract with that</w:t>
      </w:r>
      <w:r w:rsidR="00B661B8">
        <w:rPr>
          <w:rFonts w:ascii="Times New Roman" w:hAnsi="Times New Roman"/>
          <w:sz w:val="24"/>
          <w:szCs w:val="24"/>
        </w:rPr>
        <w:t xml:space="preserve"> lawyer </w:t>
      </w:r>
      <w:r w:rsidR="00E52C27">
        <w:rPr>
          <w:rFonts w:ascii="Times New Roman" w:hAnsi="Times New Roman"/>
          <w:sz w:val="24"/>
          <w:szCs w:val="24"/>
        </w:rPr>
        <w:t>for</w:t>
      </w:r>
      <w:r w:rsidR="00B661B8">
        <w:rPr>
          <w:rFonts w:ascii="Times New Roman" w:hAnsi="Times New Roman"/>
          <w:sz w:val="24"/>
          <w:szCs w:val="24"/>
        </w:rPr>
        <w:t xml:space="preserve"> that particular case. </w:t>
      </w:r>
      <w:proofErr w:type="gramStart"/>
      <w:r w:rsidR="00B661B8">
        <w:rPr>
          <w:rFonts w:ascii="Times New Roman" w:hAnsi="Times New Roman"/>
          <w:sz w:val="24"/>
          <w:szCs w:val="24"/>
        </w:rPr>
        <w:t xml:space="preserve">Please be also advised that a draft Law Amending the Law on State-guaranteed Legal Aid </w:t>
      </w:r>
      <w:r w:rsidR="00E52C27">
        <w:rPr>
          <w:rFonts w:ascii="Times New Roman" w:hAnsi="Times New Roman"/>
          <w:sz w:val="24"/>
          <w:szCs w:val="24"/>
        </w:rPr>
        <w:t>was prepared</w:t>
      </w:r>
      <w:r w:rsidR="00B661B8">
        <w:rPr>
          <w:rFonts w:ascii="Times New Roman" w:hAnsi="Times New Roman"/>
          <w:sz w:val="24"/>
          <w:szCs w:val="24"/>
        </w:rPr>
        <w:t xml:space="preserve">, which will provide for more favourable conditions for the provision of secondary legal aid to particularly vulnerable victims, including those who have suffered from offences committed to express hatred to the victim on the grounds of age, gender, sexual </w:t>
      </w:r>
      <w:r w:rsidR="00B661B8">
        <w:rPr>
          <w:rFonts w:ascii="Times New Roman" w:hAnsi="Times New Roman"/>
          <w:sz w:val="24"/>
          <w:szCs w:val="24"/>
        </w:rPr>
        <w:lastRenderedPageBreak/>
        <w:t>orientation, disability, race, nationality, language, origin, social status, belief, convictions or attitudes.</w:t>
      </w:r>
      <w:proofErr w:type="gramEnd"/>
      <w:r w:rsidR="00B661B8">
        <w:rPr>
          <w:rFonts w:ascii="Times New Roman" w:hAnsi="Times New Roman"/>
          <w:sz w:val="24"/>
          <w:szCs w:val="24"/>
        </w:rPr>
        <w:t xml:space="preserve"> Following the adoption of t</w:t>
      </w:r>
      <w:r w:rsidR="00E77BEE">
        <w:rPr>
          <w:rFonts w:ascii="Times New Roman" w:hAnsi="Times New Roman"/>
          <w:sz w:val="24"/>
          <w:szCs w:val="24"/>
        </w:rPr>
        <w:t>his amendment, the victims will</w:t>
      </w:r>
      <w:r w:rsidR="00B661B8">
        <w:rPr>
          <w:rFonts w:ascii="Times New Roman" w:hAnsi="Times New Roman"/>
          <w:sz w:val="24"/>
          <w:szCs w:val="24"/>
        </w:rPr>
        <w:t xml:space="preserve"> be entitled to secondary legal aid regardless of property and income in the entirety of the case (not only as regards the issue of compensation as provided for in the current legal regulation).</w:t>
      </w:r>
    </w:p>
    <w:p w14:paraId="17D17075" w14:textId="77777777" w:rsidR="00B661B8"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 xml:space="preserve">(c) </w:t>
      </w:r>
      <w:proofErr w:type="gramStart"/>
      <w:r>
        <w:rPr>
          <w:rFonts w:ascii="Times New Roman" w:hAnsi="Times New Roman"/>
          <w:i/>
          <w:sz w:val="24"/>
          <w:szCs w:val="24"/>
        </w:rPr>
        <w:t>continue</w:t>
      </w:r>
      <w:proofErr w:type="gramEnd"/>
      <w:r>
        <w:rPr>
          <w:rFonts w:ascii="Times New Roman" w:hAnsi="Times New Roman"/>
          <w:i/>
          <w:sz w:val="24"/>
          <w:szCs w:val="24"/>
        </w:rPr>
        <w:t xml:space="preserve"> to conduct awareness-raising campaigns on the prevention of trafficking that target the most vulnerable segments of its population;</w:t>
      </w:r>
    </w:p>
    <w:p w14:paraId="58D3FD23" w14:textId="247742DF"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121</w:t>
      </w:r>
      <w:r w:rsidR="00B661B8">
        <w:rPr>
          <w:rFonts w:ascii="Times New Roman" w:hAnsi="Times New Roman"/>
          <w:sz w:val="24"/>
          <w:szCs w:val="24"/>
        </w:rPr>
        <w:t>. To implement the Action Plan for Anti-Trafficking in Human Beings 2017-2019 approved by the Minister for the Interior of the Republic of Lithuania, the Lithuanian Police Commissioner-General took a decision to set up a Santa Marta Group</w:t>
      </w:r>
      <w:r w:rsidR="001601D9">
        <w:rPr>
          <w:rFonts w:ascii="Times New Roman" w:hAnsi="Times New Roman"/>
          <w:sz w:val="24"/>
          <w:szCs w:val="24"/>
        </w:rPr>
        <w:t xml:space="preserve"> </w:t>
      </w:r>
      <w:r w:rsidR="00B661B8">
        <w:rPr>
          <w:rFonts w:ascii="Times New Roman" w:hAnsi="Times New Roman"/>
          <w:sz w:val="24"/>
          <w:szCs w:val="24"/>
        </w:rPr>
        <w:t>in the police, instructing it to draw up guidelines for developing the network of Santa Marta</w:t>
      </w:r>
      <w:r w:rsidR="001601D9">
        <w:rPr>
          <w:rFonts w:ascii="Times New Roman" w:hAnsi="Times New Roman"/>
          <w:sz w:val="24"/>
          <w:szCs w:val="24"/>
        </w:rPr>
        <w:t xml:space="preserve"> </w:t>
      </w:r>
      <w:r w:rsidR="00B661B8">
        <w:rPr>
          <w:rFonts w:ascii="Times New Roman" w:hAnsi="Times New Roman"/>
          <w:sz w:val="24"/>
          <w:szCs w:val="24"/>
        </w:rPr>
        <w:t>initiative and recommendations for the development of its activities in municipalities.</w:t>
      </w:r>
      <w:proofErr w:type="gramEnd"/>
    </w:p>
    <w:p w14:paraId="57A3103D" w14:textId="3F236993"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122</w:t>
      </w:r>
      <w:r w:rsidR="00B661B8">
        <w:rPr>
          <w:rFonts w:ascii="Times New Roman" w:hAnsi="Times New Roman"/>
          <w:sz w:val="24"/>
          <w:szCs w:val="24"/>
        </w:rPr>
        <w:t>. In 2016-2017, police representatives held meetings with the representatives of the Office of the Prosecutor, Kaunas City Municipality, catholic parish clergy and non-governmental organisation L</w:t>
      </w:r>
      <w:r w:rsidR="007567F6">
        <w:rPr>
          <w:rFonts w:ascii="Times New Roman" w:hAnsi="Times New Roman"/>
          <w:sz w:val="24"/>
          <w:szCs w:val="24"/>
        </w:rPr>
        <w:t>ithuanian</w:t>
      </w:r>
      <w:r w:rsidR="00B661B8">
        <w:rPr>
          <w:rFonts w:ascii="Times New Roman" w:hAnsi="Times New Roman"/>
          <w:sz w:val="24"/>
          <w:szCs w:val="24"/>
        </w:rPr>
        <w:t xml:space="preserve"> Caritas to discuss possible models of cooperation in </w:t>
      </w:r>
      <w:proofErr w:type="gramStart"/>
      <w:r w:rsidR="00B661B8">
        <w:rPr>
          <w:rFonts w:ascii="Times New Roman" w:hAnsi="Times New Roman"/>
          <w:sz w:val="24"/>
          <w:szCs w:val="24"/>
        </w:rPr>
        <w:t>providing assistance to</w:t>
      </w:r>
      <w:proofErr w:type="gramEnd"/>
      <w:r w:rsidR="00B661B8">
        <w:rPr>
          <w:rFonts w:ascii="Times New Roman" w:hAnsi="Times New Roman"/>
          <w:sz w:val="24"/>
          <w:szCs w:val="24"/>
        </w:rPr>
        <w:t xml:space="preserve"> victims of trafficking in human beings.</w:t>
      </w:r>
    </w:p>
    <w:p w14:paraId="25B2DCE9" w14:textId="2FBCE9C1" w:rsidR="00B661B8" w:rsidRPr="00742FA3" w:rsidRDefault="00DB1D76"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12</w:t>
      </w:r>
      <w:r w:rsidR="001515BD">
        <w:rPr>
          <w:rFonts w:ascii="Times New Roman" w:hAnsi="Times New Roman"/>
          <w:sz w:val="24"/>
          <w:szCs w:val="24"/>
        </w:rPr>
        <w:t>3</w:t>
      </w:r>
      <w:r w:rsidR="00B661B8">
        <w:rPr>
          <w:rFonts w:ascii="Times New Roman" w:hAnsi="Times New Roman"/>
          <w:sz w:val="24"/>
          <w:szCs w:val="24"/>
        </w:rPr>
        <w:t xml:space="preserve">. A draft project </w:t>
      </w:r>
      <w:proofErr w:type="gramStart"/>
      <w:r w:rsidR="00B661B8">
        <w:rPr>
          <w:rFonts w:ascii="Times New Roman" w:hAnsi="Times New Roman"/>
          <w:sz w:val="24"/>
          <w:szCs w:val="24"/>
        </w:rPr>
        <w:t>was drawn up</w:t>
      </w:r>
      <w:proofErr w:type="gramEnd"/>
      <w:r w:rsidR="00B661B8">
        <w:rPr>
          <w:rFonts w:ascii="Times New Roman" w:hAnsi="Times New Roman"/>
          <w:sz w:val="24"/>
          <w:szCs w:val="24"/>
        </w:rPr>
        <w:t xml:space="preserve"> under the instruction of the Lithuanian Police Commissioner-General ‘On cooperation between police and clergy in the development of Santa Marta initiative’ (currently under </w:t>
      </w:r>
      <w:r w:rsidR="00D6144D">
        <w:rPr>
          <w:rFonts w:ascii="Times New Roman" w:hAnsi="Times New Roman"/>
          <w:sz w:val="24"/>
          <w:szCs w:val="24"/>
        </w:rPr>
        <w:t>preparation</w:t>
      </w:r>
      <w:r w:rsidR="00B661B8">
        <w:rPr>
          <w:rFonts w:ascii="Times New Roman" w:hAnsi="Times New Roman"/>
          <w:sz w:val="24"/>
          <w:szCs w:val="24"/>
        </w:rPr>
        <w:t>). It provides for:</w:t>
      </w:r>
    </w:p>
    <w:p w14:paraId="59D1ADEF" w14:textId="43DF13CA" w:rsidR="00B661B8" w:rsidRPr="00742FA3" w:rsidRDefault="00B661B8" w:rsidP="00B661B8">
      <w:pPr>
        <w:spacing w:before="100" w:beforeAutospacing="1" w:after="100" w:afterAutospacing="1" w:line="240" w:lineRule="auto"/>
        <w:ind w:left="567"/>
        <w:jc w:val="both"/>
        <w:rPr>
          <w:rFonts w:ascii="Times New Roman" w:hAnsi="Times New Roman" w:cs="Times New Roman"/>
          <w:sz w:val="24"/>
          <w:szCs w:val="24"/>
        </w:rPr>
      </w:pPr>
      <w:r>
        <w:rPr>
          <w:rFonts w:ascii="Times New Roman" w:hAnsi="Times New Roman"/>
          <w:sz w:val="24"/>
          <w:szCs w:val="24"/>
        </w:rPr>
        <w:t xml:space="preserve">1. Meetings at Police Headquarters between community officers and police chaplains with representatives of the catholic parishes and non-governmental organisation Lithuanian Caritas operating in the territory of their jurisdiction. The purpose of the meetings is to discuss cooperation possibilities, to set the time line and scope for the joint activities to </w:t>
      </w:r>
      <w:proofErr w:type="gramStart"/>
      <w:r>
        <w:rPr>
          <w:rFonts w:ascii="Times New Roman" w:hAnsi="Times New Roman"/>
          <w:sz w:val="24"/>
          <w:szCs w:val="24"/>
        </w:rPr>
        <w:t>be carried out</w:t>
      </w:r>
      <w:proofErr w:type="gramEnd"/>
      <w:r>
        <w:rPr>
          <w:rFonts w:ascii="Times New Roman" w:hAnsi="Times New Roman"/>
          <w:sz w:val="24"/>
          <w:szCs w:val="24"/>
        </w:rPr>
        <w:t xml:space="preserve"> as general prevention in combating ​​trafficking in human beings, within the specific activity a</w:t>
      </w:r>
      <w:r w:rsidR="00D43E16">
        <w:rPr>
          <w:rFonts w:ascii="Times New Roman" w:hAnsi="Times New Roman"/>
          <w:sz w:val="24"/>
          <w:szCs w:val="24"/>
        </w:rPr>
        <w:t xml:space="preserve">reas. </w:t>
      </w:r>
    </w:p>
    <w:p w14:paraId="5C0A9B1D" w14:textId="10F602A5" w:rsidR="00B661B8" w:rsidRPr="00742FA3" w:rsidRDefault="00B661B8" w:rsidP="00B661B8">
      <w:pPr>
        <w:spacing w:before="100" w:beforeAutospacing="1" w:after="100" w:afterAutospacing="1" w:line="240" w:lineRule="auto"/>
        <w:ind w:left="567"/>
        <w:jc w:val="both"/>
        <w:rPr>
          <w:rFonts w:ascii="Times New Roman" w:hAnsi="Times New Roman" w:cs="Times New Roman"/>
          <w:sz w:val="24"/>
          <w:szCs w:val="24"/>
        </w:rPr>
      </w:pPr>
      <w:r>
        <w:rPr>
          <w:rFonts w:ascii="Times New Roman" w:hAnsi="Times New Roman"/>
          <w:sz w:val="24"/>
          <w:szCs w:val="24"/>
        </w:rPr>
        <w:t>2. Assigning to</w:t>
      </w:r>
      <w:r w:rsidR="00E10693">
        <w:rPr>
          <w:rFonts w:ascii="Times New Roman" w:hAnsi="Times New Roman"/>
          <w:sz w:val="24"/>
          <w:szCs w:val="24"/>
        </w:rPr>
        <w:t xml:space="preserve"> community officers to organise</w:t>
      </w:r>
      <w:r>
        <w:rPr>
          <w:rFonts w:ascii="Times New Roman" w:hAnsi="Times New Roman"/>
          <w:sz w:val="24"/>
          <w:szCs w:val="24"/>
        </w:rPr>
        <w:t xml:space="preserve"> thematic events (meetings, training, etc.) in the territory of each eldership, taking into account the specifics of the territory under the jurisdiction.</w:t>
      </w:r>
      <w:r w:rsidR="001601D9">
        <w:rPr>
          <w:rFonts w:ascii="Times New Roman" w:hAnsi="Times New Roman"/>
          <w:sz w:val="24"/>
          <w:szCs w:val="24"/>
        </w:rPr>
        <w:t xml:space="preserve"> </w:t>
      </w:r>
      <w:r>
        <w:rPr>
          <w:rFonts w:ascii="Times New Roman" w:hAnsi="Times New Roman"/>
          <w:sz w:val="24"/>
          <w:szCs w:val="24"/>
        </w:rPr>
        <w:t xml:space="preserve">The purpose of the events: to inform about the forms of trafficking in human beings, about the ways of recruiting and possibilities for helping victims of trafficking in human beings. It </w:t>
      </w:r>
      <w:proofErr w:type="gramStart"/>
      <w:r>
        <w:rPr>
          <w:rFonts w:ascii="Times New Roman" w:hAnsi="Times New Roman"/>
          <w:sz w:val="24"/>
          <w:szCs w:val="24"/>
        </w:rPr>
        <w:t>is recommended</w:t>
      </w:r>
      <w:proofErr w:type="gramEnd"/>
      <w:r>
        <w:rPr>
          <w:rFonts w:ascii="Times New Roman" w:hAnsi="Times New Roman"/>
          <w:sz w:val="24"/>
          <w:szCs w:val="24"/>
        </w:rPr>
        <w:t xml:space="preserve"> that police chaplains, clergy of the catholic parishes and representatives of the non-governmental organisation Lithuanian Caritas should be in</w:t>
      </w:r>
      <w:r w:rsidR="00E10693">
        <w:rPr>
          <w:rFonts w:ascii="Times New Roman" w:hAnsi="Times New Roman"/>
          <w:sz w:val="24"/>
          <w:szCs w:val="24"/>
        </w:rPr>
        <w:t>volved when organising such</w:t>
      </w:r>
      <w:r>
        <w:rPr>
          <w:rFonts w:ascii="Times New Roman" w:hAnsi="Times New Roman"/>
          <w:sz w:val="24"/>
          <w:szCs w:val="24"/>
        </w:rPr>
        <w:t xml:space="preserve"> events.</w:t>
      </w:r>
    </w:p>
    <w:p w14:paraId="1DED99F4" w14:textId="4FDDE426" w:rsidR="00B661B8" w:rsidRPr="00742FA3" w:rsidRDefault="00B661B8" w:rsidP="00B661B8">
      <w:pPr>
        <w:spacing w:before="100" w:beforeAutospacing="1" w:after="100" w:afterAutospacing="1" w:line="240" w:lineRule="auto"/>
        <w:ind w:left="567"/>
        <w:jc w:val="both"/>
        <w:rPr>
          <w:rFonts w:ascii="Times New Roman" w:hAnsi="Times New Roman" w:cs="Times New Roman"/>
          <w:sz w:val="24"/>
          <w:szCs w:val="24"/>
        </w:rPr>
      </w:pPr>
      <w:r>
        <w:rPr>
          <w:rFonts w:ascii="Times New Roman" w:hAnsi="Times New Roman"/>
          <w:sz w:val="24"/>
          <w:szCs w:val="24"/>
        </w:rPr>
        <w:t xml:space="preserve">3. Providing public with regular information on the prevailing forms of trafficking in human beings, ways of recruiting and helping victims of human trafficking on the community’s Facebook account, on the website of a police establishment and in media </w:t>
      </w:r>
      <w:proofErr w:type="gramStart"/>
      <w:r>
        <w:rPr>
          <w:rFonts w:ascii="Times New Roman" w:hAnsi="Times New Roman"/>
          <w:sz w:val="24"/>
          <w:szCs w:val="24"/>
        </w:rPr>
        <w:t>press-releases</w:t>
      </w:r>
      <w:proofErr w:type="gramEnd"/>
      <w:r>
        <w:rPr>
          <w:rFonts w:ascii="Times New Roman" w:hAnsi="Times New Roman"/>
          <w:sz w:val="24"/>
          <w:szCs w:val="24"/>
        </w:rPr>
        <w:t>.</w:t>
      </w:r>
      <w:r w:rsidR="001601D9">
        <w:rPr>
          <w:rFonts w:ascii="Times New Roman" w:hAnsi="Times New Roman"/>
          <w:sz w:val="24"/>
          <w:szCs w:val="24"/>
        </w:rPr>
        <w:t xml:space="preserve"> </w:t>
      </w:r>
      <w:r>
        <w:rPr>
          <w:rFonts w:ascii="Times New Roman" w:hAnsi="Times New Roman"/>
          <w:sz w:val="24"/>
          <w:szCs w:val="24"/>
        </w:rPr>
        <w:t>Also, raising awareness of the best practice cases (information on cases of crime prevention, effective assistance, productive cooperation with social partners</w:t>
      </w:r>
      <w:r w:rsidR="0097226A">
        <w:rPr>
          <w:rFonts w:ascii="Times New Roman" w:hAnsi="Times New Roman"/>
          <w:sz w:val="24"/>
          <w:szCs w:val="24"/>
        </w:rPr>
        <w:t>, etc.)</w:t>
      </w:r>
      <w:r>
        <w:rPr>
          <w:rFonts w:ascii="Times New Roman" w:hAnsi="Times New Roman"/>
          <w:sz w:val="24"/>
          <w:szCs w:val="24"/>
        </w:rPr>
        <w:t xml:space="preserve"> </w:t>
      </w:r>
    </w:p>
    <w:p w14:paraId="3F37E721" w14:textId="77777777" w:rsidR="00B661B8" w:rsidRPr="00742FA3" w:rsidRDefault="00B661B8" w:rsidP="00B661B8">
      <w:pPr>
        <w:spacing w:before="100" w:beforeAutospacing="1" w:after="100" w:afterAutospacing="1" w:line="240" w:lineRule="auto"/>
        <w:ind w:left="567"/>
        <w:jc w:val="both"/>
        <w:rPr>
          <w:rFonts w:ascii="Times New Roman" w:hAnsi="Times New Roman" w:cs="Times New Roman"/>
          <w:sz w:val="24"/>
          <w:szCs w:val="24"/>
        </w:rPr>
      </w:pPr>
      <w:r>
        <w:rPr>
          <w:rFonts w:ascii="Times New Roman" w:hAnsi="Times New Roman"/>
          <w:sz w:val="24"/>
          <w:szCs w:val="24"/>
        </w:rPr>
        <w:t>4. Appointing responsible staff for the participation in the activities of municipal co-ordination commissions for combating trafficking in human beings or other collegial units involved in this field at the place of their operation.</w:t>
      </w:r>
    </w:p>
    <w:p w14:paraId="5EAAAD63" w14:textId="64F9211B" w:rsidR="00B661B8" w:rsidRPr="00502F80" w:rsidRDefault="00DA04FE" w:rsidP="00B661B8">
      <w:pPr>
        <w:spacing w:before="100" w:beforeAutospacing="1" w:after="100" w:afterAutospacing="1" w:line="240" w:lineRule="auto"/>
        <w:ind w:left="567"/>
        <w:jc w:val="both"/>
        <w:rPr>
          <w:rFonts w:ascii="Times New Roman" w:hAnsi="Times New Roman" w:cs="Times New Roman"/>
          <w:sz w:val="24"/>
          <w:szCs w:val="24"/>
        </w:rPr>
      </w:pPr>
      <w:r>
        <w:rPr>
          <w:rFonts w:ascii="Times New Roman" w:hAnsi="Times New Roman"/>
          <w:sz w:val="24"/>
          <w:szCs w:val="24"/>
        </w:rPr>
        <w:t xml:space="preserve">5. </w:t>
      </w:r>
      <w:r w:rsidR="003C555D">
        <w:rPr>
          <w:rFonts w:ascii="Times New Roman" w:hAnsi="Times New Roman"/>
          <w:sz w:val="24"/>
          <w:szCs w:val="24"/>
        </w:rPr>
        <w:t>T</w:t>
      </w:r>
      <w:r w:rsidR="00B661B8">
        <w:rPr>
          <w:rFonts w:ascii="Times New Roman" w:hAnsi="Times New Roman"/>
          <w:sz w:val="24"/>
          <w:szCs w:val="24"/>
        </w:rPr>
        <w:t>he Lithuanian Police School should include the sub-theme of cooperation with the clergy in the field of general prevention in the content of the</w:t>
      </w:r>
      <w:r>
        <w:rPr>
          <w:rFonts w:ascii="Times New Roman" w:hAnsi="Times New Roman"/>
          <w:sz w:val="24"/>
          <w:szCs w:val="24"/>
        </w:rPr>
        <w:t xml:space="preserve"> trainings</w:t>
      </w:r>
      <w:r w:rsidR="00D621BD">
        <w:rPr>
          <w:rFonts w:ascii="Times New Roman" w:hAnsi="Times New Roman"/>
          <w:sz w:val="24"/>
          <w:szCs w:val="24"/>
        </w:rPr>
        <w:t xml:space="preserve"> “Community officer activities”</w:t>
      </w:r>
      <w:r w:rsidR="00C52464">
        <w:rPr>
          <w:rFonts w:ascii="Times New Roman" w:hAnsi="Times New Roman"/>
          <w:sz w:val="24"/>
          <w:szCs w:val="24"/>
        </w:rPr>
        <w:t>.</w:t>
      </w:r>
    </w:p>
    <w:p w14:paraId="54CA84FB" w14:textId="77777777" w:rsidR="00B661B8" w:rsidRPr="00742FA3"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lastRenderedPageBreak/>
        <w:t xml:space="preserve">(d) </w:t>
      </w:r>
      <w:proofErr w:type="gramStart"/>
      <w:r>
        <w:rPr>
          <w:rFonts w:ascii="Times New Roman" w:hAnsi="Times New Roman"/>
          <w:i/>
          <w:sz w:val="24"/>
          <w:szCs w:val="24"/>
        </w:rPr>
        <w:t>provide</w:t>
      </w:r>
      <w:proofErr w:type="gramEnd"/>
      <w:r>
        <w:rPr>
          <w:rFonts w:ascii="Times New Roman" w:hAnsi="Times New Roman"/>
          <w:i/>
          <w:sz w:val="24"/>
          <w:szCs w:val="24"/>
        </w:rPr>
        <w:t xml:space="preserve"> the police, prosecutors, judges and migration and border officers with specialized training on the Convention and relevant international human rights instruments.</w:t>
      </w:r>
    </w:p>
    <w:p w14:paraId="785C7F1A" w14:textId="68C51347"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124</w:t>
      </w:r>
      <w:r w:rsidR="00B661B8">
        <w:rPr>
          <w:rFonts w:ascii="Times New Roman" w:hAnsi="Times New Roman"/>
          <w:sz w:val="24"/>
          <w:szCs w:val="24"/>
        </w:rPr>
        <w:t>. In the light of the commitments undertaken by the Republic of Lithuania under the Convention and other international instruments, the State Border Guard Service of the Ministry of the Interior holds annual training courses on the fight against trafficking in human beings aimed at providing special skills to officers in charge of border checks to achieve better efficiency in prevention and fight against trafficking in human beings.</w:t>
      </w:r>
      <w:proofErr w:type="gramEnd"/>
    </w:p>
    <w:p w14:paraId="0F84F432" w14:textId="5E816B4B"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125</w:t>
      </w:r>
      <w:r w:rsidR="00B661B8">
        <w:rPr>
          <w:rFonts w:ascii="Times New Roman" w:hAnsi="Times New Roman"/>
          <w:sz w:val="24"/>
          <w:szCs w:val="24"/>
        </w:rPr>
        <w:t>. The training courses aim to provide officers with knowledge about trafficking in human beings, human rights violations, their consequences, nature, participants and the mechanism itself; to develop officers’ skills to identify potential victims of trafficking in human beings, as well as suspected traffickers; to improve officers’ skills to make an initial questioning of victims of trafficking in human beings.</w:t>
      </w:r>
    </w:p>
    <w:p w14:paraId="7A98DD6E" w14:textId="26F6C215" w:rsidR="00B661B8" w:rsidRDefault="001515BD" w:rsidP="00B661B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126</w:t>
      </w:r>
      <w:r w:rsidR="00B661B8">
        <w:rPr>
          <w:rFonts w:ascii="Times New Roman" w:hAnsi="Times New Roman"/>
          <w:sz w:val="24"/>
          <w:szCs w:val="24"/>
        </w:rPr>
        <w:t xml:space="preserve">. Training for police officers on trafficking in human beings: </w:t>
      </w:r>
    </w:p>
    <w:tbl>
      <w:tblPr>
        <w:tblStyle w:val="TableGrid"/>
        <w:tblW w:w="0" w:type="auto"/>
        <w:tblLook w:val="04A0" w:firstRow="1" w:lastRow="0" w:firstColumn="1" w:lastColumn="0" w:noHBand="0" w:noVBand="1"/>
      </w:tblPr>
      <w:tblGrid>
        <w:gridCol w:w="3209"/>
        <w:gridCol w:w="3209"/>
        <w:gridCol w:w="3210"/>
      </w:tblGrid>
      <w:tr w:rsidR="0038541E" w:rsidRPr="0038541E" w14:paraId="5048F092" w14:textId="77777777" w:rsidTr="0038541E">
        <w:tc>
          <w:tcPr>
            <w:tcW w:w="3209" w:type="dxa"/>
          </w:tcPr>
          <w:p w14:paraId="387AEF8F"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proofErr w:type="spellStart"/>
            <w:r w:rsidRPr="0038541E">
              <w:rPr>
                <w:rFonts w:ascii="Times New Roman" w:hAnsi="Times New Roman"/>
                <w:sz w:val="24"/>
                <w:szCs w:val="24"/>
                <w:lang w:val="lt-LT"/>
              </w:rPr>
              <w:t>Year</w:t>
            </w:r>
            <w:proofErr w:type="spellEnd"/>
          </w:p>
        </w:tc>
        <w:tc>
          <w:tcPr>
            <w:tcW w:w="3209" w:type="dxa"/>
          </w:tcPr>
          <w:p w14:paraId="5F4502BC" w14:textId="194D1FCB" w:rsidR="0038541E" w:rsidRPr="0038541E" w:rsidRDefault="00D14F2F" w:rsidP="0038541E">
            <w:pPr>
              <w:spacing w:before="100" w:beforeAutospacing="1" w:after="100" w:afterAutospacing="1" w:line="240" w:lineRule="auto"/>
              <w:jc w:val="both"/>
              <w:rPr>
                <w:rFonts w:ascii="Times New Roman" w:hAnsi="Times New Roman"/>
                <w:sz w:val="24"/>
                <w:szCs w:val="24"/>
                <w:lang w:val="lt-LT"/>
              </w:rPr>
            </w:pPr>
            <w:proofErr w:type="spellStart"/>
            <w:r>
              <w:rPr>
                <w:rFonts w:ascii="Times New Roman" w:hAnsi="Times New Roman"/>
                <w:sz w:val="24"/>
                <w:szCs w:val="24"/>
                <w:lang w:val="lt-LT"/>
              </w:rPr>
              <w:t>Number</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of</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trainings</w:t>
            </w:r>
            <w:proofErr w:type="spellEnd"/>
            <w:r>
              <w:rPr>
                <w:rFonts w:ascii="Times New Roman" w:hAnsi="Times New Roman"/>
                <w:sz w:val="24"/>
                <w:szCs w:val="24"/>
                <w:lang w:val="lt-LT"/>
              </w:rPr>
              <w:t>/</w:t>
            </w:r>
            <w:proofErr w:type="spellStart"/>
            <w:r>
              <w:rPr>
                <w:rFonts w:ascii="Times New Roman" w:hAnsi="Times New Roman"/>
                <w:sz w:val="24"/>
                <w:szCs w:val="24"/>
                <w:lang w:val="lt-LT"/>
              </w:rPr>
              <w:t>seminars</w:t>
            </w:r>
            <w:proofErr w:type="spellEnd"/>
          </w:p>
        </w:tc>
        <w:tc>
          <w:tcPr>
            <w:tcW w:w="3210" w:type="dxa"/>
          </w:tcPr>
          <w:p w14:paraId="7586D291"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proofErr w:type="spellStart"/>
            <w:r w:rsidRPr="0038541E">
              <w:rPr>
                <w:rFonts w:ascii="Times New Roman" w:hAnsi="Times New Roman"/>
                <w:sz w:val="24"/>
                <w:szCs w:val="24"/>
                <w:lang w:val="lt-LT"/>
              </w:rPr>
              <w:t>Number</w:t>
            </w:r>
            <w:proofErr w:type="spellEnd"/>
            <w:r w:rsidRPr="0038541E">
              <w:rPr>
                <w:rFonts w:ascii="Times New Roman" w:hAnsi="Times New Roman"/>
                <w:sz w:val="24"/>
                <w:szCs w:val="24"/>
                <w:lang w:val="lt-LT"/>
              </w:rPr>
              <w:t xml:space="preserve"> </w:t>
            </w:r>
            <w:proofErr w:type="spellStart"/>
            <w:r w:rsidRPr="0038541E">
              <w:rPr>
                <w:rFonts w:ascii="Times New Roman" w:hAnsi="Times New Roman"/>
                <w:sz w:val="24"/>
                <w:szCs w:val="24"/>
                <w:lang w:val="lt-LT"/>
              </w:rPr>
              <w:t>of</w:t>
            </w:r>
            <w:proofErr w:type="spellEnd"/>
            <w:r w:rsidRPr="0038541E">
              <w:rPr>
                <w:rFonts w:ascii="Times New Roman" w:hAnsi="Times New Roman"/>
                <w:sz w:val="24"/>
                <w:szCs w:val="24"/>
                <w:lang w:val="lt-LT"/>
              </w:rPr>
              <w:t xml:space="preserve"> </w:t>
            </w:r>
            <w:proofErr w:type="spellStart"/>
            <w:r w:rsidRPr="0038541E">
              <w:rPr>
                <w:rFonts w:ascii="Times New Roman" w:hAnsi="Times New Roman"/>
                <w:sz w:val="24"/>
                <w:szCs w:val="24"/>
                <w:lang w:val="lt-LT"/>
              </w:rPr>
              <w:t>participants</w:t>
            </w:r>
            <w:proofErr w:type="spellEnd"/>
          </w:p>
        </w:tc>
      </w:tr>
      <w:tr w:rsidR="0038541E" w:rsidRPr="0038541E" w14:paraId="2D43D465" w14:textId="77777777" w:rsidTr="0038541E">
        <w:tc>
          <w:tcPr>
            <w:tcW w:w="3209" w:type="dxa"/>
          </w:tcPr>
          <w:p w14:paraId="19420076"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2014</w:t>
            </w:r>
          </w:p>
        </w:tc>
        <w:tc>
          <w:tcPr>
            <w:tcW w:w="3209" w:type="dxa"/>
          </w:tcPr>
          <w:p w14:paraId="1418662B"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1</w:t>
            </w:r>
          </w:p>
        </w:tc>
        <w:tc>
          <w:tcPr>
            <w:tcW w:w="3210" w:type="dxa"/>
          </w:tcPr>
          <w:p w14:paraId="0714350C"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16</w:t>
            </w:r>
          </w:p>
        </w:tc>
      </w:tr>
      <w:tr w:rsidR="0038541E" w:rsidRPr="0038541E" w14:paraId="2EF66AB8" w14:textId="77777777" w:rsidTr="0038541E">
        <w:tc>
          <w:tcPr>
            <w:tcW w:w="3209" w:type="dxa"/>
          </w:tcPr>
          <w:p w14:paraId="1E37E1AA"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2015</w:t>
            </w:r>
          </w:p>
        </w:tc>
        <w:tc>
          <w:tcPr>
            <w:tcW w:w="3209" w:type="dxa"/>
          </w:tcPr>
          <w:p w14:paraId="60D8E85C"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8</w:t>
            </w:r>
          </w:p>
        </w:tc>
        <w:tc>
          <w:tcPr>
            <w:tcW w:w="3210" w:type="dxa"/>
          </w:tcPr>
          <w:p w14:paraId="7C56F4B3"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160</w:t>
            </w:r>
          </w:p>
        </w:tc>
      </w:tr>
      <w:tr w:rsidR="0038541E" w:rsidRPr="0038541E" w14:paraId="5B77E43E" w14:textId="77777777" w:rsidTr="0038541E">
        <w:tc>
          <w:tcPr>
            <w:tcW w:w="3209" w:type="dxa"/>
          </w:tcPr>
          <w:p w14:paraId="3E68D9B4"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2016</w:t>
            </w:r>
          </w:p>
        </w:tc>
        <w:tc>
          <w:tcPr>
            <w:tcW w:w="3209" w:type="dxa"/>
          </w:tcPr>
          <w:p w14:paraId="5774A575"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2</w:t>
            </w:r>
          </w:p>
        </w:tc>
        <w:tc>
          <w:tcPr>
            <w:tcW w:w="3210" w:type="dxa"/>
          </w:tcPr>
          <w:p w14:paraId="30FC55E4"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32</w:t>
            </w:r>
          </w:p>
        </w:tc>
      </w:tr>
      <w:tr w:rsidR="0038541E" w:rsidRPr="0038541E" w14:paraId="1F8EA04B" w14:textId="77777777" w:rsidTr="0038541E">
        <w:tc>
          <w:tcPr>
            <w:tcW w:w="3209" w:type="dxa"/>
          </w:tcPr>
          <w:p w14:paraId="217C0541"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2017</w:t>
            </w:r>
          </w:p>
        </w:tc>
        <w:tc>
          <w:tcPr>
            <w:tcW w:w="3209" w:type="dxa"/>
          </w:tcPr>
          <w:p w14:paraId="2DE24337"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3</w:t>
            </w:r>
          </w:p>
        </w:tc>
        <w:tc>
          <w:tcPr>
            <w:tcW w:w="3210" w:type="dxa"/>
          </w:tcPr>
          <w:p w14:paraId="5C395C16" w14:textId="77777777" w:rsidR="0038541E" w:rsidRPr="0038541E" w:rsidRDefault="0038541E" w:rsidP="0038541E">
            <w:pPr>
              <w:spacing w:before="100" w:beforeAutospacing="1" w:after="100" w:afterAutospacing="1" w:line="240" w:lineRule="auto"/>
              <w:jc w:val="both"/>
              <w:rPr>
                <w:rFonts w:ascii="Times New Roman" w:hAnsi="Times New Roman"/>
                <w:sz w:val="24"/>
                <w:szCs w:val="24"/>
                <w:lang w:val="lt-LT"/>
              </w:rPr>
            </w:pPr>
            <w:r w:rsidRPr="0038541E">
              <w:rPr>
                <w:rFonts w:ascii="Times New Roman" w:hAnsi="Times New Roman"/>
                <w:sz w:val="24"/>
                <w:szCs w:val="24"/>
                <w:lang w:val="lt-LT"/>
              </w:rPr>
              <w:t>53</w:t>
            </w:r>
          </w:p>
        </w:tc>
      </w:tr>
    </w:tbl>
    <w:p w14:paraId="6281A777" w14:textId="524A5ADE" w:rsidR="00D14F2F" w:rsidRDefault="001515BD" w:rsidP="00B661B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127</w:t>
      </w:r>
      <w:r w:rsidR="00B661B8">
        <w:rPr>
          <w:rFonts w:ascii="Times New Roman" w:hAnsi="Times New Roman"/>
          <w:sz w:val="24"/>
          <w:szCs w:val="24"/>
        </w:rPr>
        <w:t xml:space="preserve">. Prosecutors and civil servants of the Office of the Prosecutor have been actively participating in training organised by the Office of the Prosecutor General and other state institutions and non-governmental organisations on trafficking in human beings: </w:t>
      </w:r>
    </w:p>
    <w:tbl>
      <w:tblPr>
        <w:tblStyle w:val="TableGrid"/>
        <w:tblW w:w="0" w:type="auto"/>
        <w:tblLook w:val="04A0" w:firstRow="1" w:lastRow="0" w:firstColumn="1" w:lastColumn="0" w:noHBand="0" w:noVBand="1"/>
      </w:tblPr>
      <w:tblGrid>
        <w:gridCol w:w="3209"/>
        <w:gridCol w:w="3209"/>
        <w:gridCol w:w="3210"/>
      </w:tblGrid>
      <w:tr w:rsidR="00D14F2F" w14:paraId="7BB1BDCF" w14:textId="77777777" w:rsidTr="003C555D">
        <w:tc>
          <w:tcPr>
            <w:tcW w:w="3209" w:type="dxa"/>
          </w:tcPr>
          <w:p w14:paraId="6F287A0A"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Year</w:t>
            </w:r>
          </w:p>
        </w:tc>
        <w:tc>
          <w:tcPr>
            <w:tcW w:w="3209" w:type="dxa"/>
          </w:tcPr>
          <w:p w14:paraId="7EDEBE93"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Number of trainings/seminars</w:t>
            </w:r>
          </w:p>
        </w:tc>
        <w:tc>
          <w:tcPr>
            <w:tcW w:w="3210" w:type="dxa"/>
          </w:tcPr>
          <w:p w14:paraId="424211CD"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Number of participants</w:t>
            </w:r>
          </w:p>
        </w:tc>
      </w:tr>
      <w:tr w:rsidR="00D14F2F" w14:paraId="0A698F49" w14:textId="77777777" w:rsidTr="003C555D">
        <w:tc>
          <w:tcPr>
            <w:tcW w:w="3209" w:type="dxa"/>
          </w:tcPr>
          <w:p w14:paraId="6CCBB452"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3209" w:type="dxa"/>
          </w:tcPr>
          <w:p w14:paraId="5DD18D05"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210" w:type="dxa"/>
          </w:tcPr>
          <w:p w14:paraId="4B1BF3EC"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D14F2F" w14:paraId="3C5D64FF" w14:textId="77777777" w:rsidTr="003C555D">
        <w:tc>
          <w:tcPr>
            <w:tcW w:w="3209" w:type="dxa"/>
          </w:tcPr>
          <w:p w14:paraId="0EAAA23D"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3209" w:type="dxa"/>
          </w:tcPr>
          <w:p w14:paraId="431EB2E9"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210" w:type="dxa"/>
          </w:tcPr>
          <w:p w14:paraId="0BC269B1"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D14F2F" w14:paraId="043693CB" w14:textId="77777777" w:rsidTr="003C555D">
        <w:tc>
          <w:tcPr>
            <w:tcW w:w="3209" w:type="dxa"/>
          </w:tcPr>
          <w:p w14:paraId="65F85F3B"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3209" w:type="dxa"/>
          </w:tcPr>
          <w:p w14:paraId="046A370D"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210" w:type="dxa"/>
          </w:tcPr>
          <w:p w14:paraId="79CE8E50"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96</w:t>
            </w:r>
          </w:p>
        </w:tc>
      </w:tr>
      <w:tr w:rsidR="00D14F2F" w14:paraId="25A16934" w14:textId="77777777" w:rsidTr="003C555D">
        <w:tc>
          <w:tcPr>
            <w:tcW w:w="3209" w:type="dxa"/>
          </w:tcPr>
          <w:p w14:paraId="3CD0889F"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3209" w:type="dxa"/>
          </w:tcPr>
          <w:p w14:paraId="2716063E"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210" w:type="dxa"/>
          </w:tcPr>
          <w:p w14:paraId="12FA4122" w14:textId="77777777" w:rsidR="00D14F2F" w:rsidRDefault="00D14F2F" w:rsidP="003C55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60</w:t>
            </w:r>
          </w:p>
        </w:tc>
      </w:tr>
    </w:tbl>
    <w:p w14:paraId="3F43DCA2" w14:textId="3D2D6657" w:rsidR="00B661B8" w:rsidRPr="00742FA3"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The Committee welcomes the State Party‘s efforts to adopt the draft law implementing the European Union Victim‘s directives. It requests further information on the application of these legal provisions to provide reparations to victims for acts of racial discrimination.</w:t>
      </w:r>
    </w:p>
    <w:p w14:paraId="297407BF" w14:textId="13CB3429" w:rsidR="00B661B8" w:rsidRPr="00742FA3" w:rsidRDefault="001515BD"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128</w:t>
      </w:r>
      <w:r w:rsidR="00B661B8">
        <w:rPr>
          <w:rFonts w:ascii="Times New Roman" w:hAnsi="Times New Roman"/>
          <w:sz w:val="24"/>
          <w:szCs w:val="24"/>
        </w:rPr>
        <w:t>. Taking into account the report submitted by Lithuania on the implementation of the recommendations (Nos 7, 27, 31 and 36) provided in paragraph 39 of the concluding observations (CERD/C/LTU/CO/6-8) and the information provided in the above-mentioned report by Lithuania on the effective measures of legal protection and redress to victims, please be advised that the Law on the Compensation of Victims of Violent Crimes provides for reparations to victims of v</w:t>
      </w:r>
      <w:r w:rsidR="00CE46EC">
        <w:rPr>
          <w:rFonts w:ascii="Times New Roman" w:hAnsi="Times New Roman"/>
          <w:sz w:val="24"/>
          <w:szCs w:val="24"/>
        </w:rPr>
        <w:t>iolent crimes from the Fund for Victims of Crime</w:t>
      </w:r>
      <w:r w:rsidR="00B661B8">
        <w:rPr>
          <w:rFonts w:ascii="Times New Roman" w:hAnsi="Times New Roman"/>
          <w:sz w:val="24"/>
          <w:szCs w:val="24"/>
        </w:rPr>
        <w:t>.</w:t>
      </w:r>
      <w:proofErr w:type="gramEnd"/>
      <w:r w:rsidR="001601D9">
        <w:rPr>
          <w:rFonts w:ascii="Times New Roman" w:hAnsi="Times New Roman"/>
          <w:sz w:val="24"/>
          <w:szCs w:val="24"/>
        </w:rPr>
        <w:t xml:space="preserve"> </w:t>
      </w:r>
      <w:r w:rsidR="00B661B8">
        <w:rPr>
          <w:rFonts w:ascii="Times New Roman" w:hAnsi="Times New Roman"/>
          <w:sz w:val="24"/>
          <w:szCs w:val="24"/>
        </w:rPr>
        <w:t xml:space="preserve">A violent crime is an act having criminal elements of the offence under CC, which deliberately deprives human life, and causes severe or non-severe health impairment, or an act that has elements of a serious or grave crime against human liberty, freedom of person’s sexual self-determination and integrity. </w:t>
      </w:r>
      <w:proofErr w:type="gramStart"/>
      <w:r w:rsidR="00B661B8">
        <w:rPr>
          <w:rFonts w:ascii="Times New Roman" w:hAnsi="Times New Roman"/>
          <w:sz w:val="24"/>
          <w:szCs w:val="24"/>
        </w:rPr>
        <w:t>It should be noted that Article 169 of the Criminal Code (discrimination on grounds of nationality, race, sex, descent, religion or belonging to other groups) Article 170 (incitement against any national, racial, ethnic, religious or other group of persons) and Article 170</w:t>
      </w:r>
      <w:r w:rsidR="00B661B8">
        <w:rPr>
          <w:rFonts w:ascii="Times New Roman" w:hAnsi="Times New Roman"/>
          <w:sz w:val="24"/>
          <w:szCs w:val="24"/>
          <w:vertAlign w:val="superscript"/>
        </w:rPr>
        <w:t>1</w:t>
      </w:r>
      <w:r w:rsidR="00B661B8">
        <w:rPr>
          <w:rFonts w:ascii="Times New Roman" w:hAnsi="Times New Roman"/>
          <w:sz w:val="24"/>
          <w:szCs w:val="24"/>
        </w:rPr>
        <w:t xml:space="preserve"> (creation and activities of the groups and organisations aiming at discriminating a group of persons or inciting against it) are not included in the list of violent crimes </w:t>
      </w:r>
      <w:r w:rsidR="00B661B8">
        <w:rPr>
          <w:rFonts w:ascii="Times New Roman" w:hAnsi="Times New Roman"/>
          <w:sz w:val="24"/>
          <w:szCs w:val="24"/>
        </w:rPr>
        <w:lastRenderedPageBreak/>
        <w:t>subject to reparations from the Fund for Crime Victims, which was approved by Order No 1R-88 of the Minister for Justice of 20 March 2009.</w:t>
      </w:r>
      <w:proofErr w:type="gramEnd"/>
      <w:r w:rsidR="001601D9">
        <w:rPr>
          <w:rFonts w:ascii="Times New Roman" w:hAnsi="Times New Roman"/>
          <w:sz w:val="24"/>
          <w:szCs w:val="24"/>
        </w:rPr>
        <w:t xml:space="preserve"> </w:t>
      </w:r>
      <w:r w:rsidR="00B661B8">
        <w:rPr>
          <w:rFonts w:ascii="Times New Roman" w:hAnsi="Times New Roman"/>
          <w:sz w:val="24"/>
          <w:szCs w:val="24"/>
        </w:rPr>
        <w:t>Victims of these crimes, who have suffered material or non-material damage, have the right to bring a civil action in criminal proceedings against a suspect or accused person or persons who are materially liable for the suspected or accused person’s actions. When deciding on conviction, the court, relying on the evidence as regards the reasonableness and size of the civil action, fully or partially satisfies the civil action or rejects it.</w:t>
      </w:r>
    </w:p>
    <w:p w14:paraId="6359FC82" w14:textId="21DA2953" w:rsidR="00B661B8" w:rsidRPr="00871637" w:rsidRDefault="00DB1D76"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129</w:t>
      </w:r>
      <w:r w:rsidR="00B661B8">
        <w:rPr>
          <w:rFonts w:ascii="Times New Roman" w:hAnsi="Times New Roman"/>
          <w:sz w:val="24"/>
          <w:szCs w:val="24"/>
        </w:rPr>
        <w:t>. Please also note that repa</w:t>
      </w:r>
      <w:r w:rsidR="00411E8C">
        <w:rPr>
          <w:rFonts w:ascii="Times New Roman" w:hAnsi="Times New Roman"/>
          <w:sz w:val="24"/>
          <w:szCs w:val="24"/>
        </w:rPr>
        <w:t xml:space="preserve">rations from the Fund for </w:t>
      </w:r>
      <w:r w:rsidR="00B661B8">
        <w:rPr>
          <w:rFonts w:ascii="Times New Roman" w:hAnsi="Times New Roman"/>
          <w:sz w:val="24"/>
          <w:szCs w:val="24"/>
        </w:rPr>
        <w:t>Victims</w:t>
      </w:r>
      <w:r w:rsidR="00411E8C">
        <w:rPr>
          <w:rFonts w:ascii="Times New Roman" w:hAnsi="Times New Roman"/>
          <w:sz w:val="24"/>
          <w:szCs w:val="24"/>
        </w:rPr>
        <w:t xml:space="preserve"> of Crime</w:t>
      </w:r>
      <w:r w:rsidR="00B661B8">
        <w:rPr>
          <w:rFonts w:ascii="Times New Roman" w:hAnsi="Times New Roman"/>
          <w:sz w:val="24"/>
          <w:szCs w:val="24"/>
        </w:rPr>
        <w:t xml:space="preserve"> may be made to victims of violent crimes that could have been committed against a group of persons or a person belonging to the group on the grounds of age, gender, sexual orientation, disability, race, nationality, language, origin, social status, belief, convictions or attitudes (e.g. under Article 129 of CC (murder), Article 135 (severe health impairment) and Article 138 (non-severe health impairment).</w:t>
      </w:r>
      <w:proofErr w:type="gramEnd"/>
      <w:r w:rsidR="00B661B8">
        <w:rPr>
          <w:rFonts w:ascii="Times New Roman" w:hAnsi="Times New Roman"/>
          <w:sz w:val="24"/>
          <w:szCs w:val="24"/>
        </w:rPr>
        <w:t xml:space="preserve"> Lithuania gathers no separate statistical information on requests for reparations from the Fund for Crime Victims for violent crimes that could have been committed against a group of persons or a person belonging to the group to express hatred on the grounds of race. However, it </w:t>
      </w:r>
      <w:proofErr w:type="gramStart"/>
      <w:r w:rsidR="00B661B8">
        <w:rPr>
          <w:rFonts w:ascii="Times New Roman" w:hAnsi="Times New Roman"/>
          <w:sz w:val="24"/>
          <w:szCs w:val="24"/>
        </w:rPr>
        <w:t>should be noted</w:t>
      </w:r>
      <w:proofErr w:type="gramEnd"/>
      <w:r w:rsidR="00B661B8">
        <w:rPr>
          <w:rFonts w:ascii="Times New Roman" w:hAnsi="Times New Roman"/>
          <w:sz w:val="24"/>
          <w:szCs w:val="24"/>
        </w:rPr>
        <w:t xml:space="preserve"> that this reparation mechanism is working efficiently, and pre-trial investigation officers take active efforts to inform victims of violent crimes about the access to the Fund for Victims of Violent Crimes.</w:t>
      </w:r>
    </w:p>
    <w:p w14:paraId="0E38E411" w14:textId="400C0D53" w:rsidR="00B661B8" w:rsidRPr="00742FA3" w:rsidRDefault="00DB1D76"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130</w:t>
      </w:r>
      <w:r w:rsidR="00B661B8">
        <w:rPr>
          <w:rFonts w:ascii="Times New Roman" w:hAnsi="Times New Roman"/>
          <w:sz w:val="24"/>
          <w:szCs w:val="24"/>
        </w:rPr>
        <w:t>. Though the national judicial administration has no legislative right, it nevertheless is closely involved in the legislative processes initiated by other entities by drawing conclusions, opinions on draft legislation related to the representation of the interests of the courts (the judicial community), the organisation of court proceedings by ensuring proper implementation of the rights of the participants in the proceedings (including victims, witnesses), and it is also involved in drafting laws, implementing legislation adopted by the Judicial Council, but it does no monitoring of the implementation of European Union directives (including the Victims’ Directive).</w:t>
      </w:r>
      <w:proofErr w:type="gramEnd"/>
      <w:r w:rsidR="001601D9">
        <w:rPr>
          <w:rFonts w:ascii="Times New Roman" w:hAnsi="Times New Roman"/>
          <w:sz w:val="24"/>
          <w:szCs w:val="24"/>
        </w:rPr>
        <w:t xml:space="preserve"> </w:t>
      </w:r>
    </w:p>
    <w:p w14:paraId="379215AD" w14:textId="77777777" w:rsidR="00B661B8" w:rsidRPr="00742FA3" w:rsidRDefault="00B661B8" w:rsidP="00B661B8">
      <w:pPr>
        <w:spacing w:before="100" w:beforeAutospacing="1" w:after="100" w:afterAutospacing="1" w:line="240" w:lineRule="auto"/>
        <w:jc w:val="both"/>
        <w:rPr>
          <w:rFonts w:ascii="Times New Roman" w:hAnsi="Times New Roman" w:cs="Times New Roman"/>
          <w:i/>
          <w:sz w:val="24"/>
          <w:szCs w:val="24"/>
        </w:rPr>
      </w:pPr>
      <w:proofErr w:type="gramStart"/>
      <w:r>
        <w:rPr>
          <w:rFonts w:ascii="Times New Roman" w:hAnsi="Times New Roman"/>
          <w:i/>
          <w:sz w:val="24"/>
          <w:szCs w:val="24"/>
        </w:rPr>
        <w:t>Bearing in mind the indivisibility of all human rights, the Committee encourages the State party to consider ratifying those international human rights instruments that it has not yet ratified, in particular treaties with provisions that have direct relevance to communities that may be subjected to racial discrimination, including the International Convention on the Protection of the Rights of All Migrant Workers and Members of Their Families and the Domestic Workers Convention, 2011 (No. 189) of the International Labour Organization.</w:t>
      </w:r>
      <w:proofErr w:type="gramEnd"/>
    </w:p>
    <w:p w14:paraId="7A565BD8" w14:textId="77777777" w:rsidR="00B661B8" w:rsidRPr="00197188" w:rsidRDefault="00B661B8" w:rsidP="00B661B8">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b/>
          <w:sz w:val="24"/>
          <w:szCs w:val="24"/>
        </w:rPr>
        <w:t>On ratification of the International Convention on the Protection of the Rights of All Migrant Workers and Members of Their Families.</w:t>
      </w:r>
    </w:p>
    <w:p w14:paraId="5E0E710B" w14:textId="25C742D6" w:rsidR="00B661B8" w:rsidRPr="00742FA3" w:rsidRDefault="006714D7"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131</w:t>
      </w:r>
      <w:r w:rsidR="00B661B8">
        <w:rPr>
          <w:rFonts w:ascii="Times New Roman" w:hAnsi="Times New Roman"/>
          <w:sz w:val="24"/>
          <w:szCs w:val="24"/>
        </w:rPr>
        <w:t>. In accordance with the national and European Union legislation, as well as United Nations human rights instruments legally binding to Lithuania, migrant workers and members of their families are entitled to certain rights, but for the moment there is no foreseeable extension of these rights in the manner required by this Convention, in particular as related to the broad and unconditional application of the principle of equal treatment in areas such as education, housing, social services, health services.</w:t>
      </w:r>
      <w:proofErr w:type="gramEnd"/>
      <w:r w:rsidR="00B661B8">
        <w:rPr>
          <w:rFonts w:ascii="Times New Roman" w:hAnsi="Times New Roman"/>
          <w:sz w:val="24"/>
          <w:szCs w:val="24"/>
        </w:rPr>
        <w:t xml:space="preserve"> We believe that the instruments of national law, the bilateral agreements signed and the existing or deliberated EU legislation represent adequate protection of the rights of migrants from third countries.</w:t>
      </w:r>
    </w:p>
    <w:p w14:paraId="6B138B56" w14:textId="77777777" w:rsidR="00B661B8" w:rsidRPr="00197188" w:rsidRDefault="00B661B8" w:rsidP="00B661B8">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b/>
          <w:sz w:val="24"/>
          <w:szCs w:val="24"/>
        </w:rPr>
        <w:t>On ratification of the Domestic Workers Convention No 189 of ILO</w:t>
      </w:r>
    </w:p>
    <w:p w14:paraId="67D54200" w14:textId="7D8E5815" w:rsidR="00B661B8" w:rsidRPr="00742FA3"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132</w:t>
      </w:r>
      <w:r w:rsidR="00B661B8">
        <w:rPr>
          <w:rFonts w:ascii="Times New Roman" w:hAnsi="Times New Roman"/>
          <w:sz w:val="24"/>
          <w:szCs w:val="24"/>
        </w:rPr>
        <w:t xml:space="preserve">. In principle </w:t>
      </w:r>
      <w:r w:rsidR="00ED2032">
        <w:rPr>
          <w:rFonts w:ascii="Times New Roman" w:hAnsi="Times New Roman"/>
          <w:sz w:val="24"/>
          <w:szCs w:val="24"/>
        </w:rPr>
        <w:t xml:space="preserve">while </w:t>
      </w:r>
      <w:r w:rsidR="00B661B8">
        <w:rPr>
          <w:rFonts w:ascii="Times New Roman" w:hAnsi="Times New Roman"/>
          <w:sz w:val="24"/>
          <w:szCs w:val="24"/>
        </w:rPr>
        <w:t>support</w:t>
      </w:r>
      <w:r w:rsidR="00ED2032">
        <w:rPr>
          <w:rFonts w:ascii="Times New Roman" w:hAnsi="Times New Roman"/>
          <w:sz w:val="24"/>
          <w:szCs w:val="24"/>
        </w:rPr>
        <w:t>ing</w:t>
      </w:r>
      <w:r w:rsidR="00B661B8">
        <w:rPr>
          <w:rFonts w:ascii="Times New Roman" w:hAnsi="Times New Roman"/>
          <w:sz w:val="24"/>
          <w:szCs w:val="24"/>
        </w:rPr>
        <w:t xml:space="preserve"> of the aspirations of the International Labour Organization, Lithuania ensures the fundamental rights and freedoms of domestic workers, including those of children working in households, through its national legislation. Taking into account the fact that </w:t>
      </w:r>
      <w:r w:rsidR="00B661B8">
        <w:rPr>
          <w:rFonts w:ascii="Times New Roman" w:hAnsi="Times New Roman"/>
          <w:sz w:val="24"/>
          <w:szCs w:val="24"/>
        </w:rPr>
        <w:lastRenderedPageBreak/>
        <w:t>domestic work in Lithuania is not very widespread, the Labour Code of the Republic of Lithuania does not contain any specific provisions regulating domestic work. European Union legislation already regulates some aspects covered by Convention No 189. It is noteworthy that in many areas European Union law provides for greater protection</w:t>
      </w:r>
      <w:r w:rsidR="00ED2032">
        <w:rPr>
          <w:rFonts w:ascii="Times New Roman" w:hAnsi="Times New Roman"/>
          <w:sz w:val="24"/>
          <w:szCs w:val="24"/>
        </w:rPr>
        <w:t xml:space="preserve"> of migrant workers’ rights</w:t>
      </w:r>
      <w:r w:rsidR="00B661B8">
        <w:rPr>
          <w:rFonts w:ascii="Times New Roman" w:hAnsi="Times New Roman"/>
          <w:sz w:val="24"/>
          <w:szCs w:val="24"/>
        </w:rPr>
        <w:t xml:space="preserve"> than</w:t>
      </w:r>
      <w:r w:rsidR="00ED2032">
        <w:rPr>
          <w:rFonts w:ascii="Times New Roman" w:hAnsi="Times New Roman"/>
          <w:sz w:val="24"/>
          <w:szCs w:val="24"/>
        </w:rPr>
        <w:t xml:space="preserve"> ILO</w:t>
      </w:r>
      <w:r w:rsidR="00B661B8">
        <w:rPr>
          <w:rFonts w:ascii="Times New Roman" w:hAnsi="Times New Roman"/>
          <w:sz w:val="24"/>
          <w:szCs w:val="24"/>
        </w:rPr>
        <w:t xml:space="preserve"> Convention No. 189.</w:t>
      </w:r>
    </w:p>
    <w:p w14:paraId="7B51D93B" w14:textId="77777777" w:rsidR="00B661B8" w:rsidRPr="00742FA3" w:rsidRDefault="00B661B8" w:rsidP="00B661B8">
      <w:pPr>
        <w:spacing w:before="100" w:beforeAutospacing="1" w:after="100" w:afterAutospacing="1" w:line="240" w:lineRule="auto"/>
        <w:jc w:val="both"/>
        <w:rPr>
          <w:rFonts w:ascii="Times New Roman" w:hAnsi="Times New Roman" w:cs="Times New Roman"/>
          <w:i/>
          <w:sz w:val="24"/>
          <w:szCs w:val="24"/>
        </w:rPr>
      </w:pPr>
      <w:proofErr w:type="gramStart"/>
      <w:r>
        <w:rPr>
          <w:rFonts w:ascii="Times New Roman" w:hAnsi="Times New Roman"/>
          <w:i/>
          <w:sz w:val="24"/>
          <w:szCs w:val="24"/>
        </w:rPr>
        <w:t>In the light of its general recommendation No. 33 (2009) on the follow-up to the Durban Review Conference, the Committee recommends that, when implementing the Convention in its domestic legal order, the State party give effect to the Durban Declaration and Programme of Action, adopted in September 2001 by the World Conference against Racism, Racial Discrimination, Xenophobia and Related Intolerance, taking into account the outcome document of the Durban Review Conference, held in Geneva in April 2009.</w:t>
      </w:r>
      <w:proofErr w:type="gramEnd"/>
      <w:r>
        <w:rPr>
          <w:rFonts w:ascii="Times New Roman" w:hAnsi="Times New Roman"/>
          <w:i/>
          <w:sz w:val="24"/>
          <w:szCs w:val="24"/>
        </w:rPr>
        <w:t xml:space="preserve"> The Committee requests that the State party include in its next periodic report specific information on action plans and other measures taken to implement the Durban Declaration and Programme of Action at the national level.</w:t>
      </w:r>
    </w:p>
    <w:p w14:paraId="0E07A778" w14:textId="5249FE1A" w:rsidR="00B661B8"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133</w:t>
      </w:r>
      <w:r w:rsidR="00B661B8">
        <w:rPr>
          <w:rFonts w:ascii="Times New Roman" w:hAnsi="Times New Roman"/>
          <w:sz w:val="24"/>
          <w:szCs w:val="24"/>
        </w:rPr>
        <w:t xml:space="preserve">. The Ministry of Social Security and Labour of the Republic of Lithuania coordinates the Action Plan for Promotion of Non-discrimination for 2017-2019. </w:t>
      </w:r>
      <w:proofErr w:type="gramStart"/>
      <w:r w:rsidR="00B661B8">
        <w:rPr>
          <w:rFonts w:ascii="Times New Roman" w:hAnsi="Times New Roman"/>
          <w:sz w:val="24"/>
          <w:szCs w:val="24"/>
        </w:rPr>
        <w:t>The Constitution of the Republic of Lithuania and the Law on Equal Treatment broadly correspond to the provisions of European Union legislation and international treaties of the Republic of Lithuania on non-discrimination, however, since non-discrimination is a horizontal priority which should be implemented across all areas: education, transport, culture, work, integration of persons with disabilities and other fields, which require ensuring equal opportunities for all, it is necessary to make additional efforts and ensure that legislation contains no discriminative provisions against any group of people.</w:t>
      </w:r>
      <w:proofErr w:type="gramEnd"/>
      <w:r w:rsidR="00B661B8">
        <w:rPr>
          <w:rFonts w:ascii="Times New Roman" w:hAnsi="Times New Roman"/>
          <w:sz w:val="24"/>
          <w:szCs w:val="24"/>
        </w:rPr>
        <w:t xml:space="preserve"> </w:t>
      </w:r>
    </w:p>
    <w:p w14:paraId="56B063F5" w14:textId="3264BFC8" w:rsidR="00B661B8" w:rsidRPr="00161204"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134</w:t>
      </w:r>
      <w:r w:rsidR="00B661B8">
        <w:rPr>
          <w:rFonts w:ascii="Times New Roman" w:hAnsi="Times New Roman"/>
          <w:sz w:val="24"/>
          <w:szCs w:val="24"/>
        </w:rPr>
        <w:t xml:space="preserve">. The Action Plan </w:t>
      </w:r>
      <w:proofErr w:type="gramStart"/>
      <w:r w:rsidR="00B661B8">
        <w:rPr>
          <w:rFonts w:ascii="Times New Roman" w:hAnsi="Times New Roman"/>
          <w:sz w:val="24"/>
          <w:szCs w:val="24"/>
        </w:rPr>
        <w:t>is implemented</w:t>
      </w:r>
      <w:proofErr w:type="gramEnd"/>
      <w:r w:rsidR="00B661B8">
        <w:rPr>
          <w:rFonts w:ascii="Times New Roman" w:hAnsi="Times New Roman"/>
          <w:sz w:val="24"/>
          <w:szCs w:val="24"/>
        </w:rPr>
        <w:t xml:space="preserve"> from the general appropriations from the state budget of the Republic of Lithuania approved for relevant institutions and bodies responsible for the implementation of the measures of the Action Plan, and from 2014-2020 European Union Structural Funds. </w:t>
      </w:r>
      <w:proofErr w:type="gramStart"/>
      <w:r w:rsidR="00B661B8">
        <w:rPr>
          <w:rFonts w:ascii="Times New Roman" w:hAnsi="Times New Roman"/>
          <w:sz w:val="24"/>
          <w:szCs w:val="24"/>
        </w:rPr>
        <w:t>The state institutions and bodies implementing the measures of the Action Plan shall submit to the Ministry of Social Security and Labour written information on the progress and results of the implementation of the Action Plan, taking into account the approved objectives and measures of the Action Plan and the relevant appropriations provided for in Section IV of the Action Plan as well as the evaluation criteria and their values specified in Section V of the Action Plan, by the 18th of the month following the end of each quarter, or by 20th of January following the end of the year.</w:t>
      </w:r>
      <w:proofErr w:type="gramEnd"/>
      <w:r w:rsidR="00B661B8">
        <w:rPr>
          <w:rFonts w:ascii="Times New Roman" w:hAnsi="Times New Roman"/>
          <w:sz w:val="24"/>
          <w:szCs w:val="24"/>
        </w:rPr>
        <w:t xml:space="preserve"> </w:t>
      </w:r>
    </w:p>
    <w:p w14:paraId="47F7A524" w14:textId="77777777" w:rsidR="00B661B8" w:rsidRPr="00742FA3"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In the light of General Assembly resolution 68/237, in which the Assembly proclaimed 2015-2024 the International Decade for People of African Descent, and Assembly resolution 69/16 on the programme of activities for the implementation of the Decade, the Committee recommends that the State party prepare and implement a suitable programme of measures and policies. The Committee requests that the State party includes in its next report precise information on the concrete measures adopted in that framework, taking into account its general recommendation No. 34 (2011) on racial discrimination against people of African descent.</w:t>
      </w:r>
    </w:p>
    <w:p w14:paraId="02872894" w14:textId="6836C180" w:rsidR="00B661B8" w:rsidRPr="00742FA3" w:rsidRDefault="006714D7" w:rsidP="00B661B8">
      <w:pPr>
        <w:tabs>
          <w:tab w:val="left" w:pos="1418"/>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135</w:t>
      </w:r>
      <w:r w:rsidR="00B661B8">
        <w:rPr>
          <w:rFonts w:ascii="Times New Roman" w:hAnsi="Times New Roman"/>
          <w:sz w:val="24"/>
          <w:szCs w:val="24"/>
        </w:rPr>
        <w:t xml:space="preserve">. The Ministry of Social Security and Labour coordinates the Inter-institutional Action Plan for Promotion of Non-discrimination for 2011-2019, which aims to ensure the implementation of educational non-discrimination and equal opportunities-driven measures and to increase legal awareness, mutual understanding and tolerance on the grounds of gender, race, nationality, language, origin, social status, religion, beliefs or attitudes, age, sexual orientation, disability, ethnicity, religion, and to inform the public about the manifestations of discrimination in Lithuania and its negative impact on the ability of certain groups of society to participate actively in society on an equal </w:t>
      </w:r>
      <w:r w:rsidR="00F54C37">
        <w:rPr>
          <w:rFonts w:ascii="Times New Roman" w:hAnsi="Times New Roman"/>
          <w:sz w:val="24"/>
          <w:szCs w:val="24"/>
        </w:rPr>
        <w:t>rights</w:t>
      </w:r>
      <w:r w:rsidR="0097226A">
        <w:rPr>
          <w:rFonts w:ascii="Times New Roman" w:hAnsi="Times New Roman"/>
          <w:sz w:val="24"/>
          <w:szCs w:val="24"/>
        </w:rPr>
        <w:t>.</w:t>
      </w:r>
    </w:p>
    <w:p w14:paraId="162C68B8" w14:textId="5CD388C3" w:rsidR="00B661B8" w:rsidRPr="00742FA3" w:rsidRDefault="006714D7" w:rsidP="00B661B8">
      <w:pPr>
        <w:tabs>
          <w:tab w:val="left" w:pos="1418"/>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lastRenderedPageBreak/>
        <w:t>136</w:t>
      </w:r>
      <w:r w:rsidR="00B661B8">
        <w:rPr>
          <w:rFonts w:ascii="Times New Roman" w:hAnsi="Times New Roman"/>
          <w:sz w:val="24"/>
          <w:szCs w:val="24"/>
        </w:rPr>
        <w:t>. The measures include training and educational events on issues of integration into society and equal opportunities, as well as activities ensuring inclusion of national minorities in the labour market, raising inter-cultural awareness and promoting cultural herita</w:t>
      </w:r>
      <w:r w:rsidR="00F54C37">
        <w:rPr>
          <w:rFonts w:ascii="Times New Roman" w:hAnsi="Times New Roman"/>
          <w:sz w:val="24"/>
          <w:szCs w:val="24"/>
        </w:rPr>
        <w:t xml:space="preserve">ge of national minorities and </w:t>
      </w:r>
      <w:r w:rsidR="00B661B8">
        <w:rPr>
          <w:rFonts w:ascii="Times New Roman" w:hAnsi="Times New Roman"/>
          <w:sz w:val="24"/>
          <w:szCs w:val="24"/>
        </w:rPr>
        <w:t xml:space="preserve">migrants, </w:t>
      </w:r>
      <w:proofErr w:type="gramStart"/>
      <w:r w:rsidR="00B661B8">
        <w:rPr>
          <w:rFonts w:ascii="Times New Roman" w:hAnsi="Times New Roman"/>
          <w:sz w:val="24"/>
          <w:szCs w:val="24"/>
        </w:rPr>
        <w:t>they also</w:t>
      </w:r>
      <w:proofErr w:type="gramEnd"/>
      <w:r w:rsidR="00B661B8">
        <w:rPr>
          <w:rFonts w:ascii="Times New Roman" w:hAnsi="Times New Roman"/>
          <w:sz w:val="24"/>
          <w:szCs w:val="24"/>
        </w:rPr>
        <w:t xml:space="preserve"> include social advertising in public transport on non-discrimination. </w:t>
      </w:r>
    </w:p>
    <w:p w14:paraId="40BA221A" w14:textId="0DD3B02A" w:rsidR="00B661B8" w:rsidRDefault="006714D7" w:rsidP="00B661B8">
      <w:pPr>
        <w:tabs>
          <w:tab w:val="left" w:pos="284"/>
          <w:tab w:val="left" w:pos="993"/>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137</w:t>
      </w:r>
      <w:r w:rsidR="00B661B8">
        <w:rPr>
          <w:rFonts w:ascii="Times New Roman" w:hAnsi="Times New Roman"/>
          <w:sz w:val="24"/>
          <w:szCs w:val="24"/>
        </w:rPr>
        <w:t xml:space="preserve">. It </w:t>
      </w:r>
      <w:proofErr w:type="gramStart"/>
      <w:r w:rsidR="00B661B8">
        <w:rPr>
          <w:rFonts w:ascii="Times New Roman" w:hAnsi="Times New Roman"/>
          <w:sz w:val="24"/>
          <w:szCs w:val="24"/>
        </w:rPr>
        <w:t>has also been foreseen</w:t>
      </w:r>
      <w:proofErr w:type="gramEnd"/>
      <w:r w:rsidR="00B661B8">
        <w:rPr>
          <w:rFonts w:ascii="Times New Roman" w:hAnsi="Times New Roman"/>
          <w:sz w:val="24"/>
          <w:szCs w:val="24"/>
        </w:rPr>
        <w:t xml:space="preserve"> to hold public events that promote tolerance, awareness and interest in the culture, history and heritage of people of African descent. </w:t>
      </w:r>
      <w:proofErr w:type="gramStart"/>
      <w:r w:rsidR="00B661B8">
        <w:rPr>
          <w:rFonts w:ascii="Times New Roman" w:hAnsi="Times New Roman"/>
          <w:sz w:val="24"/>
          <w:szCs w:val="24"/>
        </w:rPr>
        <w:t>The measures provide for the following activities: to contribute to the celebration of the International Decade for People of African Descent in 2015-2024, and taking into account the Committee’s concluding observations on the sixth, seventh and eighth periodic reports of Lithuania, events are organised to promote mutual understanding, tolerance, awareness and inter-cultural dialogue, along with annual public events, conferences and discussions that promote the interest of the Lithuanian society in African culture and history, and efforts are taken to promote opportunities for economic cooperation.</w:t>
      </w:r>
      <w:proofErr w:type="gramEnd"/>
      <w:r w:rsidR="00B661B8">
        <w:rPr>
          <w:rFonts w:ascii="Times New Roman" w:hAnsi="Times New Roman"/>
          <w:sz w:val="24"/>
          <w:szCs w:val="24"/>
        </w:rPr>
        <w:t xml:space="preserve"> The </w:t>
      </w:r>
      <w:proofErr w:type="gramStart"/>
      <w:r w:rsidR="00B661B8">
        <w:rPr>
          <w:rFonts w:ascii="Times New Roman" w:hAnsi="Times New Roman"/>
          <w:sz w:val="24"/>
          <w:szCs w:val="24"/>
        </w:rPr>
        <w:t>implementation of the measure is carried out by the Ministry of Foreign Affairs</w:t>
      </w:r>
      <w:proofErr w:type="gramEnd"/>
      <w:r w:rsidR="00B661B8">
        <w:rPr>
          <w:rFonts w:ascii="Times New Roman" w:hAnsi="Times New Roman"/>
          <w:sz w:val="24"/>
          <w:szCs w:val="24"/>
        </w:rPr>
        <w:t>.</w:t>
      </w:r>
    </w:p>
    <w:p w14:paraId="3FBB2652" w14:textId="47721ABA" w:rsidR="00B661B8" w:rsidRDefault="006714D7" w:rsidP="00B661B8">
      <w:pPr>
        <w:tabs>
          <w:tab w:val="left" w:pos="284"/>
          <w:tab w:val="left" w:pos="993"/>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138</w:t>
      </w:r>
      <w:r w:rsidR="00B661B8">
        <w:rPr>
          <w:rFonts w:ascii="Times New Roman" w:hAnsi="Times New Roman"/>
          <w:sz w:val="24"/>
          <w:szCs w:val="24"/>
        </w:rPr>
        <w:t>. On 22-28 May 2017, Vilnius and Kaunas held different events to celebrate the African Days.</w:t>
      </w:r>
      <w:r w:rsidR="001601D9">
        <w:rPr>
          <w:rFonts w:ascii="Times New Roman" w:hAnsi="Times New Roman"/>
          <w:sz w:val="24"/>
          <w:szCs w:val="24"/>
        </w:rPr>
        <w:t xml:space="preserve"> </w:t>
      </w:r>
      <w:r w:rsidR="00B661B8">
        <w:rPr>
          <w:rFonts w:ascii="Times New Roman" w:hAnsi="Times New Roman"/>
          <w:sz w:val="24"/>
          <w:szCs w:val="24"/>
        </w:rPr>
        <w:t xml:space="preserve">The festival is organised annually by the Ministry of Foreign Affairs together with partners. The Africa Days programme included an international conference on ICT4D in Africa </w:t>
      </w:r>
      <w:proofErr w:type="gramStart"/>
      <w:r w:rsidR="00B661B8">
        <w:rPr>
          <w:rFonts w:ascii="Times New Roman" w:hAnsi="Times New Roman"/>
          <w:sz w:val="24"/>
          <w:szCs w:val="24"/>
        </w:rPr>
        <w:t>on the opportunities for Lithuanian businesses in financial technologies in Africa</w:t>
      </w:r>
      <w:proofErr w:type="gramEnd"/>
      <w:r w:rsidR="00B661B8">
        <w:rPr>
          <w:rFonts w:ascii="Times New Roman" w:hAnsi="Times New Roman"/>
          <w:sz w:val="24"/>
          <w:szCs w:val="24"/>
        </w:rPr>
        <w:t xml:space="preserve">; the opening of the Africa Days featured two exhibitions: the </w:t>
      </w:r>
      <w:r w:rsidR="00127771">
        <w:rPr>
          <w:rFonts w:ascii="Times New Roman" w:hAnsi="Times New Roman"/>
          <w:sz w:val="24"/>
          <w:szCs w:val="24"/>
        </w:rPr>
        <w:t>contest of</w:t>
      </w:r>
      <w:r w:rsidR="00B661B8">
        <w:rPr>
          <w:rFonts w:ascii="Times New Roman" w:hAnsi="Times New Roman"/>
          <w:sz w:val="24"/>
          <w:szCs w:val="24"/>
        </w:rPr>
        <w:t xml:space="preserve"> photographs </w:t>
      </w:r>
      <w:r w:rsidR="00127771">
        <w:rPr>
          <w:rFonts w:ascii="Times New Roman" w:hAnsi="Times New Roman"/>
          <w:sz w:val="24"/>
          <w:szCs w:val="24"/>
        </w:rPr>
        <w:t>“My Pictures of Africa”</w:t>
      </w:r>
      <w:r w:rsidR="00B661B8">
        <w:rPr>
          <w:rFonts w:ascii="Times New Roman" w:hAnsi="Times New Roman"/>
          <w:sz w:val="24"/>
          <w:szCs w:val="24"/>
        </w:rPr>
        <w:t xml:space="preserve"> held by the Ministry of Foreign</w:t>
      </w:r>
      <w:r w:rsidR="00127771">
        <w:rPr>
          <w:rFonts w:ascii="Times New Roman" w:hAnsi="Times New Roman"/>
          <w:sz w:val="24"/>
          <w:szCs w:val="24"/>
        </w:rPr>
        <w:t xml:space="preserve"> Affairs</w:t>
      </w:r>
      <w:r w:rsidR="00B661B8">
        <w:rPr>
          <w:rFonts w:ascii="Times New Roman" w:hAnsi="Times New Roman"/>
          <w:sz w:val="24"/>
          <w:szCs w:val="24"/>
        </w:rPr>
        <w:t xml:space="preserve">. </w:t>
      </w:r>
    </w:p>
    <w:p w14:paraId="09BA00B1" w14:textId="1D79064F" w:rsidR="00B661B8" w:rsidRPr="00F53D38" w:rsidRDefault="006714D7" w:rsidP="00B661B8">
      <w:pPr>
        <w:tabs>
          <w:tab w:val="left" w:pos="284"/>
          <w:tab w:val="left" w:pos="993"/>
        </w:tabs>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139</w:t>
      </w:r>
      <w:r w:rsidR="00B661B8">
        <w:rPr>
          <w:rFonts w:ascii="Times New Roman" w:hAnsi="Times New Roman"/>
          <w:sz w:val="24"/>
          <w:szCs w:val="24"/>
        </w:rPr>
        <w:t xml:space="preserve">. The Africa Days festival featured different lecturers: a talk given on South Sudan by development cooperation journalist from Mexico, Elva </w:t>
      </w:r>
      <w:proofErr w:type="spellStart"/>
      <w:r w:rsidR="00B661B8">
        <w:rPr>
          <w:rFonts w:ascii="Times New Roman" w:hAnsi="Times New Roman"/>
          <w:sz w:val="24"/>
          <w:szCs w:val="24"/>
        </w:rPr>
        <w:t>Narci</w:t>
      </w:r>
      <w:proofErr w:type="spellEnd"/>
      <w:r w:rsidR="00B661B8">
        <w:rPr>
          <w:rFonts w:ascii="Times New Roman" w:hAnsi="Times New Roman"/>
          <w:sz w:val="24"/>
          <w:szCs w:val="24"/>
        </w:rPr>
        <w:t>; a lecture-discussion on (</w:t>
      </w:r>
      <w:proofErr w:type="gramStart"/>
      <w:r w:rsidR="00B661B8">
        <w:rPr>
          <w:rFonts w:ascii="Times New Roman" w:hAnsi="Times New Roman"/>
          <w:sz w:val="24"/>
          <w:szCs w:val="24"/>
        </w:rPr>
        <w:t>non)</w:t>
      </w:r>
      <w:proofErr w:type="gramEnd"/>
      <w:r w:rsidR="00B661B8">
        <w:rPr>
          <w:rFonts w:ascii="Times New Roman" w:hAnsi="Times New Roman"/>
          <w:sz w:val="24"/>
          <w:szCs w:val="24"/>
        </w:rPr>
        <w:t xml:space="preserve">moral economic cases not only in Africa but also in the world with expert on global development </w:t>
      </w:r>
      <w:proofErr w:type="spellStart"/>
      <w:r w:rsidR="00B661B8">
        <w:rPr>
          <w:rFonts w:ascii="Times New Roman" w:hAnsi="Times New Roman"/>
          <w:sz w:val="24"/>
          <w:szCs w:val="24"/>
        </w:rPr>
        <w:t>Dr.</w:t>
      </w:r>
      <w:proofErr w:type="spellEnd"/>
      <w:r w:rsidR="00B661B8">
        <w:rPr>
          <w:rFonts w:ascii="Times New Roman" w:hAnsi="Times New Roman"/>
          <w:sz w:val="24"/>
          <w:szCs w:val="24"/>
        </w:rPr>
        <w:t xml:space="preserve"> </w:t>
      </w:r>
      <w:proofErr w:type="spellStart"/>
      <w:r w:rsidR="00B661B8">
        <w:rPr>
          <w:rFonts w:ascii="Times New Roman" w:hAnsi="Times New Roman"/>
          <w:sz w:val="24"/>
          <w:szCs w:val="24"/>
        </w:rPr>
        <w:t>Jörg</w:t>
      </w:r>
      <w:proofErr w:type="spellEnd"/>
      <w:r w:rsidR="00B661B8">
        <w:rPr>
          <w:rFonts w:ascii="Times New Roman" w:hAnsi="Times New Roman"/>
          <w:sz w:val="24"/>
          <w:szCs w:val="24"/>
        </w:rPr>
        <w:t xml:space="preserve"> </w:t>
      </w:r>
      <w:proofErr w:type="spellStart"/>
      <w:r w:rsidR="00B661B8">
        <w:rPr>
          <w:rFonts w:ascii="Times New Roman" w:hAnsi="Times New Roman"/>
          <w:sz w:val="24"/>
          <w:szCs w:val="24"/>
        </w:rPr>
        <w:t>Wiegratz</w:t>
      </w:r>
      <w:proofErr w:type="spellEnd"/>
      <w:r w:rsidR="00B661B8">
        <w:rPr>
          <w:rFonts w:ascii="Times New Roman" w:hAnsi="Times New Roman"/>
          <w:sz w:val="24"/>
          <w:szCs w:val="24"/>
        </w:rPr>
        <w:t xml:space="preserve"> from the University of Leeds. Cultural events were also organised: screening films about Africa at the cinema, a photo exhibition ‘Window to Africa’, the afternoon poetry reading ‘</w:t>
      </w:r>
      <w:proofErr w:type="spellStart"/>
      <w:r w:rsidR="00B661B8">
        <w:rPr>
          <w:rFonts w:ascii="Times New Roman" w:hAnsi="Times New Roman"/>
          <w:sz w:val="24"/>
          <w:szCs w:val="24"/>
        </w:rPr>
        <w:t>Slemas</w:t>
      </w:r>
      <w:proofErr w:type="spellEnd"/>
      <w:r w:rsidR="00B661B8">
        <w:rPr>
          <w:rFonts w:ascii="Times New Roman" w:hAnsi="Times New Roman"/>
          <w:sz w:val="24"/>
          <w:szCs w:val="24"/>
        </w:rPr>
        <w:t xml:space="preserve"> Africa’, the forum theatre ‘Nigerian in Lithuania’, the Africa Night 2017 concert. </w:t>
      </w:r>
    </w:p>
    <w:p w14:paraId="3FB9452A" w14:textId="77777777" w:rsidR="00B661B8" w:rsidRPr="00742FA3"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The Committee recommends that the State party consult and expand its dialogue with civil society organizations working in the area of human rights protection, in particular those working to combat racial discrimination, in connection with the preparation of its next periodic report and in follow-up to the present concluding observations.</w:t>
      </w:r>
    </w:p>
    <w:p w14:paraId="419F454F" w14:textId="07395FFC" w:rsidR="00B661B8"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140</w:t>
      </w:r>
      <w:r w:rsidR="00B661B8">
        <w:rPr>
          <w:rFonts w:ascii="Times New Roman" w:hAnsi="Times New Roman"/>
          <w:sz w:val="24"/>
          <w:szCs w:val="24"/>
        </w:rPr>
        <w:t xml:space="preserve">. The NMD collaborates with representatives of the National Equality and Diversity Forum. The Forum seeks to bring together non-governmental organisations representing vulnerable groups of the population (on the grounds of gender, age, disability, religion, racial or ethnic origin, sexual orientation), as well as resources and experience for effective anti-discrimination activities related to overseeing of anti-discrimination policy measures and their development process. The NMD publishes its annual activity reports and draft reports on its website </w:t>
      </w:r>
      <w:hyperlink r:id="rId7" w:history="1">
        <w:r w:rsidR="00B661B8">
          <w:rPr>
            <w:rStyle w:val="Hyperlink"/>
            <w:rFonts w:ascii="Times New Roman" w:hAnsi="Times New Roman"/>
            <w:sz w:val="24"/>
            <w:szCs w:val="24"/>
          </w:rPr>
          <w:t>www.tmde.lt</w:t>
        </w:r>
      </w:hyperlink>
      <w:r w:rsidR="00B661B8">
        <w:rPr>
          <w:rFonts w:ascii="Times New Roman" w:hAnsi="Times New Roman"/>
          <w:sz w:val="24"/>
          <w:szCs w:val="24"/>
        </w:rPr>
        <w:t>, inviting all NGOs to provide their feedback and recommendations.</w:t>
      </w:r>
    </w:p>
    <w:p w14:paraId="1632B481" w14:textId="0F4B965F" w:rsidR="00B661B8"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141</w:t>
      </w:r>
      <w:r w:rsidR="00B661B8">
        <w:rPr>
          <w:rFonts w:ascii="Times New Roman" w:hAnsi="Times New Roman"/>
          <w:sz w:val="24"/>
          <w:szCs w:val="24"/>
        </w:rPr>
        <w:t>. The Republic of Lithuania cooperates with civil society organisations in the preparation of the Universal Periodic Review reports.</w:t>
      </w:r>
    </w:p>
    <w:p w14:paraId="3243734F" w14:textId="5DB81462" w:rsidR="00B661B8" w:rsidRPr="00F53B9C"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142</w:t>
      </w:r>
      <w:r w:rsidR="00B661B8">
        <w:rPr>
          <w:rFonts w:ascii="Times New Roman" w:hAnsi="Times New Roman"/>
          <w:sz w:val="24"/>
          <w:szCs w:val="24"/>
        </w:rPr>
        <w:t xml:space="preserve">. It is worth noting that the Action Plan for Promotion of Non-discrimination for 2017-2019 includes, among other tasks, the development of a dialogue with civil society, international organisations operating in Lithuania in the field of promotion of non-discrimination and tolerance. </w:t>
      </w:r>
      <w:proofErr w:type="spellStart"/>
      <w:r w:rsidR="00B661B8">
        <w:rPr>
          <w:rFonts w:ascii="Times New Roman" w:hAnsi="Times New Roman"/>
          <w:sz w:val="24"/>
          <w:szCs w:val="24"/>
        </w:rPr>
        <w:t>MoSSL</w:t>
      </w:r>
      <w:proofErr w:type="spellEnd"/>
      <w:r w:rsidR="00B661B8">
        <w:rPr>
          <w:rFonts w:ascii="Times New Roman" w:hAnsi="Times New Roman"/>
          <w:sz w:val="24"/>
          <w:szCs w:val="24"/>
        </w:rPr>
        <w:t xml:space="preserve"> holds meetings and discussions with NGOs.</w:t>
      </w:r>
    </w:p>
    <w:p w14:paraId="60AB6B40" w14:textId="77777777" w:rsidR="00B661B8" w:rsidRPr="00742FA3"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lastRenderedPageBreak/>
        <w:t xml:space="preserve">Amendment to article </w:t>
      </w:r>
      <w:proofErr w:type="gramStart"/>
      <w:r>
        <w:rPr>
          <w:rFonts w:ascii="Times New Roman" w:hAnsi="Times New Roman"/>
          <w:i/>
          <w:sz w:val="24"/>
          <w:szCs w:val="24"/>
        </w:rPr>
        <w:t>8</w:t>
      </w:r>
      <w:proofErr w:type="gramEnd"/>
      <w:r>
        <w:rPr>
          <w:rFonts w:ascii="Times New Roman" w:hAnsi="Times New Roman"/>
          <w:i/>
          <w:sz w:val="24"/>
          <w:szCs w:val="24"/>
        </w:rPr>
        <w:t xml:space="preserve"> of the Convention. The Committee welcomes the efforts taken by the State party to implement this recommendation, and requests further information on when the amendment to the treaty will enter into force.</w:t>
      </w:r>
    </w:p>
    <w:p w14:paraId="2B3E5004" w14:textId="6CA95100" w:rsidR="00B661B8" w:rsidRPr="00E47171"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143</w:t>
      </w:r>
      <w:r w:rsidR="00B661B8">
        <w:rPr>
          <w:rFonts w:ascii="Times New Roman" w:hAnsi="Times New Roman"/>
          <w:sz w:val="24"/>
          <w:szCs w:val="24"/>
        </w:rPr>
        <w:t>. The Republic of Lithuania has ratified the amendment to Article 8 of the International Convention on the Elimination of All Forms of Racial Discrimination, in compliance with the recommendation of the Committee and the assumed commitments. The adoption date is 12 January 2017.</w:t>
      </w:r>
    </w:p>
    <w:p w14:paraId="10907429" w14:textId="77777777" w:rsidR="00B661B8" w:rsidRPr="00742FA3"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The Committee encourages the State party to make the optional declaration provided for in article 14 of the Convention recognizing the competence of the Committee to receive and consider individual complaints.</w:t>
      </w:r>
    </w:p>
    <w:p w14:paraId="10C5000C" w14:textId="2DC96953" w:rsidR="00B661B8" w:rsidRPr="00E47171"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144</w:t>
      </w:r>
      <w:r w:rsidR="00B661B8">
        <w:rPr>
          <w:rFonts w:ascii="Times New Roman" w:hAnsi="Times New Roman"/>
          <w:sz w:val="24"/>
          <w:szCs w:val="24"/>
        </w:rPr>
        <w:t xml:space="preserve">. Having considered the possibility of making optional declaration provided for in Article 14 of the Convention recognizing the competence of the Committee to receive and consider individual complaints, the Republic of Lithuania hereby declares that it is not planning to make such a statement in the </w:t>
      </w:r>
      <w:proofErr w:type="gramStart"/>
      <w:r w:rsidR="00B661B8">
        <w:rPr>
          <w:rFonts w:ascii="Times New Roman" w:hAnsi="Times New Roman"/>
          <w:sz w:val="24"/>
          <w:szCs w:val="24"/>
        </w:rPr>
        <w:t>foreseeable</w:t>
      </w:r>
      <w:proofErr w:type="gramEnd"/>
      <w:r w:rsidR="00B661B8">
        <w:rPr>
          <w:rFonts w:ascii="Times New Roman" w:hAnsi="Times New Roman"/>
          <w:sz w:val="24"/>
          <w:szCs w:val="24"/>
        </w:rPr>
        <w:t xml:space="preserve"> future. The decision has involved the assessment of the number and the content of the statements of the states having recognised the competence of the Committee to receive and consider individual complaints, lodged with the depositary under Article 14 of the Convention (with particular focus on the high number of exceptions). </w:t>
      </w:r>
      <w:proofErr w:type="gramStart"/>
      <w:r w:rsidR="00B661B8">
        <w:rPr>
          <w:rFonts w:ascii="Times New Roman" w:hAnsi="Times New Roman"/>
          <w:sz w:val="24"/>
          <w:szCs w:val="24"/>
        </w:rPr>
        <w:t>In addition, the existing mechanisms of redress in Lithuania (the possibility of appeals to national courts, submission of individual complaints to the Human Rights Committee under the International Covenant on Civil and Political Rights, as well as complaints to the European Court of Human Rights under the Council of Europe’s Convention for the Protection of Human Rights and Fundamental Freedoms) are seen as sufficient.</w:t>
      </w:r>
      <w:proofErr w:type="gramEnd"/>
    </w:p>
    <w:p w14:paraId="709F73D8" w14:textId="77777777" w:rsidR="00B661B8"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The Committee encourages the State party to update its core document, which dates to 1998, in accordance with the harmonized guidelines on reporting under the international human rights treaties, in particular those on the common core document, as adopted at the fifth inter-committee meeting of the human rights treaty bodies held in June 2006 (HRI/GEN/2/Rev.6, chap.</w:t>
      </w:r>
      <w:r w:rsidR="001601D9">
        <w:rPr>
          <w:rFonts w:ascii="Times New Roman" w:hAnsi="Times New Roman"/>
          <w:i/>
          <w:sz w:val="24"/>
          <w:szCs w:val="24"/>
        </w:rPr>
        <w:t xml:space="preserve"> </w:t>
      </w:r>
      <w:r>
        <w:rPr>
          <w:rFonts w:ascii="Times New Roman" w:hAnsi="Times New Roman"/>
          <w:i/>
          <w:sz w:val="24"/>
          <w:szCs w:val="24"/>
        </w:rPr>
        <w:t>I).</w:t>
      </w:r>
      <w:r w:rsidR="001601D9">
        <w:rPr>
          <w:rFonts w:ascii="Times New Roman" w:hAnsi="Times New Roman"/>
          <w:i/>
          <w:sz w:val="24"/>
          <w:szCs w:val="24"/>
        </w:rPr>
        <w:t xml:space="preserve"> </w:t>
      </w:r>
      <w:r>
        <w:rPr>
          <w:rFonts w:ascii="Times New Roman" w:hAnsi="Times New Roman"/>
          <w:i/>
          <w:sz w:val="24"/>
          <w:szCs w:val="24"/>
        </w:rPr>
        <w:t>In the light of General Assembly resolution 68/268, the Committee urges the State party to observe the limit of 42,400 words for common core documents.</w:t>
      </w:r>
    </w:p>
    <w:p w14:paraId="302C1B1C" w14:textId="2909A106" w:rsidR="00B661B8" w:rsidRPr="002B1C31"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145</w:t>
      </w:r>
      <w:r w:rsidR="00B661B8">
        <w:rPr>
          <w:rFonts w:ascii="Times New Roman" w:hAnsi="Times New Roman"/>
          <w:sz w:val="24"/>
          <w:szCs w:val="24"/>
        </w:rPr>
        <w:t>.</w:t>
      </w:r>
      <w:r w:rsidR="00212C96">
        <w:rPr>
          <w:rFonts w:ascii="Times New Roman" w:hAnsi="Times New Roman"/>
          <w:sz w:val="24"/>
          <w:szCs w:val="24"/>
        </w:rPr>
        <w:t xml:space="preserve"> </w:t>
      </w:r>
      <w:r w:rsidR="00212C96" w:rsidRPr="00212C96">
        <w:rPr>
          <w:rFonts w:ascii="Times New Roman" w:hAnsi="Times New Roman"/>
          <w:sz w:val="24"/>
          <w:szCs w:val="24"/>
          <w:lang w:val="en"/>
        </w:rPr>
        <w:t>The Republic of Lithuania is currently considering the possibility of updating the</w:t>
      </w:r>
      <w:r w:rsidR="00212C96">
        <w:rPr>
          <w:rFonts w:ascii="Times New Roman" w:hAnsi="Times New Roman"/>
          <w:sz w:val="24"/>
          <w:szCs w:val="24"/>
          <w:lang w:val="en"/>
        </w:rPr>
        <w:t xml:space="preserve"> core</w:t>
      </w:r>
      <w:r w:rsidR="00212C96" w:rsidRPr="00212C96">
        <w:rPr>
          <w:rFonts w:ascii="Times New Roman" w:hAnsi="Times New Roman"/>
          <w:sz w:val="24"/>
          <w:szCs w:val="24"/>
          <w:lang w:val="en"/>
        </w:rPr>
        <w:t xml:space="preserve"> document in the </w:t>
      </w:r>
      <w:r w:rsidR="00215998">
        <w:rPr>
          <w:rFonts w:ascii="Times New Roman" w:hAnsi="Times New Roman"/>
          <w:sz w:val="24"/>
          <w:szCs w:val="24"/>
          <w:lang w:val="en"/>
        </w:rPr>
        <w:t>nearest</w:t>
      </w:r>
      <w:r w:rsidR="00212C96" w:rsidRPr="00212C96">
        <w:rPr>
          <w:rFonts w:ascii="Times New Roman" w:hAnsi="Times New Roman"/>
          <w:sz w:val="24"/>
          <w:szCs w:val="24"/>
          <w:lang w:val="en"/>
        </w:rPr>
        <w:t xml:space="preserve"> future.</w:t>
      </w:r>
    </w:p>
    <w:p w14:paraId="2718BB8B" w14:textId="77777777" w:rsidR="00B661B8" w:rsidRPr="00742FA3" w:rsidRDefault="00B661B8" w:rsidP="00B661B8">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i/>
          <w:sz w:val="24"/>
          <w:szCs w:val="24"/>
        </w:rPr>
        <w:t xml:space="preserve">The Committee recommends that the State party’s reports be made readily accessible to the </w:t>
      </w:r>
      <w:proofErr w:type="gramStart"/>
      <w:r>
        <w:rPr>
          <w:rFonts w:ascii="Times New Roman" w:hAnsi="Times New Roman"/>
          <w:i/>
          <w:sz w:val="24"/>
          <w:szCs w:val="24"/>
        </w:rPr>
        <w:t>general public</w:t>
      </w:r>
      <w:proofErr w:type="gramEnd"/>
      <w:r>
        <w:rPr>
          <w:rFonts w:ascii="Times New Roman" w:hAnsi="Times New Roman"/>
          <w:i/>
          <w:sz w:val="24"/>
          <w:szCs w:val="24"/>
        </w:rPr>
        <w:t xml:space="preserve"> at the time of their submission and that the concluding observations of the Committee with respect to those reports be similarly publicized in the official and other commonly used languages, as appropriate.</w:t>
      </w:r>
    </w:p>
    <w:p w14:paraId="7ADF8A13" w14:textId="75B7156B" w:rsidR="00B661B8" w:rsidRPr="002D0740"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146</w:t>
      </w:r>
      <w:r w:rsidR="00B661B8">
        <w:rPr>
          <w:rFonts w:ascii="Times New Roman" w:hAnsi="Times New Roman"/>
          <w:sz w:val="24"/>
          <w:szCs w:val="24"/>
        </w:rPr>
        <w:t xml:space="preserve">. All reports submitted by the Republic of Lithuania under the international conventions ratified by the Republic of Lithuania </w:t>
      </w:r>
      <w:proofErr w:type="gramStart"/>
      <w:r w:rsidR="00B661B8">
        <w:rPr>
          <w:rFonts w:ascii="Times New Roman" w:hAnsi="Times New Roman"/>
          <w:sz w:val="24"/>
          <w:szCs w:val="24"/>
        </w:rPr>
        <w:t>are published</w:t>
      </w:r>
      <w:proofErr w:type="gramEnd"/>
      <w:r w:rsidR="00B661B8">
        <w:rPr>
          <w:rFonts w:ascii="Times New Roman" w:hAnsi="Times New Roman"/>
          <w:sz w:val="24"/>
          <w:szCs w:val="24"/>
        </w:rPr>
        <w:t xml:space="preserve"> on the website of the Ministry of Foreign Affairs of the Republic of Lithuania. Reports under the International Convention on the Elimination of All Forms of Racial Discrimination are also available to the public on the website of the Ministry of Foreign Affairs of the Republic of Lithuania.</w:t>
      </w:r>
    </w:p>
    <w:p w14:paraId="6CC0FF26" w14:textId="4BD76A11" w:rsidR="00B661B8" w:rsidRPr="00742FA3"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147</w:t>
      </w:r>
      <w:r w:rsidR="00B661B8">
        <w:rPr>
          <w:rFonts w:ascii="Times New Roman" w:hAnsi="Times New Roman"/>
          <w:sz w:val="24"/>
          <w:szCs w:val="24"/>
        </w:rPr>
        <w:t>. In addition, to achieve greater publicity, we undertake to transfer this report, immediately after its submission to the Committee, to Lithuanian non-governmental organisations working on human rights with a view to placing the report in a wider network of publicly available sources.</w:t>
      </w:r>
    </w:p>
    <w:p w14:paraId="43094592" w14:textId="77777777" w:rsidR="00B661B8" w:rsidRDefault="00B661B8" w:rsidP="00B661B8">
      <w:pPr>
        <w:pStyle w:val="Heading1"/>
      </w:pPr>
      <w:bookmarkStart w:id="6" w:name="_Toc500317699"/>
      <w:bookmarkStart w:id="7" w:name="_Toc503943134"/>
      <w:r>
        <w:lastRenderedPageBreak/>
        <w:t>III. Information under articles of the Convention</w:t>
      </w:r>
      <w:bookmarkEnd w:id="6"/>
      <w:bookmarkEnd w:id="7"/>
    </w:p>
    <w:p w14:paraId="55BEDA1D" w14:textId="2508BA03" w:rsidR="00B661B8" w:rsidRPr="00885DF3"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148</w:t>
      </w:r>
      <w:r w:rsidR="00B661B8">
        <w:rPr>
          <w:rFonts w:ascii="Times New Roman" w:hAnsi="Times New Roman"/>
          <w:sz w:val="24"/>
          <w:szCs w:val="24"/>
        </w:rPr>
        <w:t xml:space="preserve">. </w:t>
      </w:r>
      <w:r w:rsidR="0070072F" w:rsidRPr="0070072F">
        <w:rPr>
          <w:rFonts w:ascii="Times New Roman" w:hAnsi="Times New Roman"/>
          <w:sz w:val="24"/>
          <w:szCs w:val="24"/>
        </w:rPr>
        <w:t>In light of the detailed responses provided above</w:t>
      </w:r>
      <w:r w:rsidR="0070072F">
        <w:rPr>
          <w:rFonts w:ascii="Times New Roman" w:hAnsi="Times New Roman"/>
          <w:sz w:val="24"/>
          <w:szCs w:val="24"/>
        </w:rPr>
        <w:t xml:space="preserve"> with regard to </w:t>
      </w:r>
      <w:r w:rsidR="00B661B8">
        <w:rPr>
          <w:rFonts w:ascii="Times New Roman" w:hAnsi="Times New Roman"/>
          <w:sz w:val="24"/>
          <w:szCs w:val="24"/>
        </w:rPr>
        <w:t>the Committee’s recommendations (</w:t>
      </w:r>
      <w:proofErr w:type="gramStart"/>
      <w:r w:rsidR="00B661B8">
        <w:rPr>
          <w:rFonts w:ascii="Times New Roman" w:hAnsi="Times New Roman"/>
          <w:sz w:val="24"/>
          <w:szCs w:val="24"/>
        </w:rPr>
        <w:t>Committee’s</w:t>
      </w:r>
      <w:proofErr w:type="gramEnd"/>
      <w:r w:rsidR="00B661B8">
        <w:rPr>
          <w:rFonts w:ascii="Times New Roman" w:hAnsi="Times New Roman"/>
          <w:sz w:val="24"/>
          <w:szCs w:val="24"/>
        </w:rPr>
        <w:t xml:space="preserve"> concluding observations CERD/C/LTU/CO/6-8), which include certain legislative provisions, policies and programmes, please find </w:t>
      </w:r>
      <w:r w:rsidR="0070072F">
        <w:rPr>
          <w:rFonts w:ascii="Times New Roman" w:hAnsi="Times New Roman"/>
          <w:sz w:val="24"/>
          <w:szCs w:val="24"/>
        </w:rPr>
        <w:t xml:space="preserve">below </w:t>
      </w:r>
      <w:r w:rsidR="00B661B8">
        <w:rPr>
          <w:rFonts w:ascii="Times New Roman" w:hAnsi="Times New Roman"/>
          <w:sz w:val="24"/>
          <w:szCs w:val="24"/>
        </w:rPr>
        <w:t xml:space="preserve">relevant information under the articles of the Convention. </w:t>
      </w:r>
      <w:proofErr w:type="gramStart"/>
      <w:r w:rsidR="00B661B8">
        <w:rPr>
          <w:rFonts w:ascii="Times New Roman" w:hAnsi="Times New Roman"/>
          <w:sz w:val="24"/>
          <w:szCs w:val="24"/>
        </w:rPr>
        <w:t>Please note that in order not to repeat the above-mentioned information and information provided in previous reports, considering the limited scope of the periodic report, and following the Committee’s guidelines, we do not provide a detailed analysis of all legal acts, policies, plans and programmes existing in the Republic of Lithuania, focusing instead on specific legislati</w:t>
      </w:r>
      <w:r w:rsidR="00212C96">
        <w:rPr>
          <w:rFonts w:ascii="Times New Roman" w:hAnsi="Times New Roman"/>
          <w:sz w:val="24"/>
          <w:szCs w:val="24"/>
        </w:rPr>
        <w:t>on</w:t>
      </w:r>
      <w:r w:rsidR="00B661B8">
        <w:rPr>
          <w:rFonts w:ascii="Times New Roman" w:hAnsi="Times New Roman"/>
          <w:sz w:val="24"/>
          <w:szCs w:val="24"/>
        </w:rPr>
        <w:t xml:space="preserve"> adopted and programmes, training, etc. that have been carried out.</w:t>
      </w:r>
      <w:proofErr w:type="gramEnd"/>
      <w:r w:rsidR="00B661B8">
        <w:rPr>
          <w:rFonts w:ascii="Times New Roman" w:hAnsi="Times New Roman"/>
          <w:sz w:val="24"/>
          <w:szCs w:val="24"/>
        </w:rPr>
        <w:t xml:space="preserve"> Information under the articles of the Convention supplements the above information.</w:t>
      </w:r>
    </w:p>
    <w:p w14:paraId="15C26FD7" w14:textId="77777777" w:rsidR="00B661B8" w:rsidRPr="00742FA3" w:rsidRDefault="00B661B8" w:rsidP="00B661B8">
      <w:pPr>
        <w:pStyle w:val="Heading2"/>
      </w:pPr>
      <w:bookmarkStart w:id="8" w:name="_Toc500317700"/>
      <w:bookmarkStart w:id="9" w:name="_Toc503943135"/>
      <w:r>
        <w:t>ARTICLE 2</w:t>
      </w:r>
      <w:bookmarkEnd w:id="8"/>
      <w:bookmarkEnd w:id="9"/>
    </w:p>
    <w:p w14:paraId="5F4954C2" w14:textId="3EC1FB94" w:rsidR="00B661B8" w:rsidRPr="00621671" w:rsidRDefault="006714D7" w:rsidP="00B661B8">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hAnsi="Times New Roman"/>
          <w:sz w:val="24"/>
          <w:szCs w:val="24"/>
        </w:rPr>
        <w:t>149</w:t>
      </w:r>
      <w:r w:rsidR="00B661B8">
        <w:rPr>
          <w:rFonts w:ascii="Times New Roman" w:hAnsi="Times New Roman"/>
          <w:sz w:val="24"/>
          <w:szCs w:val="24"/>
        </w:rPr>
        <w:t xml:space="preserve">. Article 29 of the Constitution of the Republic of Lithuania establishes the principle of non-discrimination of all persons. </w:t>
      </w:r>
      <w:proofErr w:type="gramStart"/>
      <w:r w:rsidR="00B661B8">
        <w:rPr>
          <w:rFonts w:ascii="Times New Roman" w:hAnsi="Times New Roman"/>
          <w:bCs/>
          <w:sz w:val="24"/>
          <w:szCs w:val="24"/>
        </w:rPr>
        <w:t>Articles 169, 170, 171 of the CC provide for criminal liability for discrimination on the grounds of nationality, race, sex, descent, religion or belonging to other groups, incitement against any ethnic, religious or other group of people of any nation or race, or the creation or activity of groups or organisations aiming at discriminating a group of persons or inciting against it.</w:t>
      </w:r>
      <w:proofErr w:type="gramEnd"/>
      <w:r w:rsidR="001601D9">
        <w:rPr>
          <w:rFonts w:ascii="Times New Roman" w:hAnsi="Times New Roman"/>
          <w:bCs/>
          <w:sz w:val="24"/>
          <w:szCs w:val="24"/>
        </w:rPr>
        <w:t xml:space="preserve"> </w:t>
      </w:r>
      <w:r w:rsidR="00B661B8">
        <w:rPr>
          <w:rFonts w:ascii="Times New Roman" w:hAnsi="Times New Roman"/>
          <w:bCs/>
          <w:sz w:val="24"/>
          <w:szCs w:val="24"/>
        </w:rPr>
        <w:t>It needs to be noted that all the mentioned articles of the criminal law refer to analogous grounds for promoting discrimination, contempt, and inciting discrimination, violence or hatred, i.e.: age, gender, sexual orientation, disability, race, nationality, language, origin (covering any kind of origin - social, national , ethnic, etc.), social status, beliefs, convictions and attitudes.</w:t>
      </w:r>
    </w:p>
    <w:p w14:paraId="1B458586" w14:textId="18DDBFB2" w:rsidR="00B661B8" w:rsidRPr="00742FA3" w:rsidRDefault="006714D7" w:rsidP="00B661B8">
      <w:p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sz w:val="24"/>
          <w:szCs w:val="24"/>
        </w:rPr>
        <w:t>150</w:t>
      </w:r>
      <w:r w:rsidR="00B661B8">
        <w:rPr>
          <w:rFonts w:ascii="Times New Roman" w:hAnsi="Times New Roman"/>
          <w:sz w:val="24"/>
          <w:szCs w:val="24"/>
        </w:rPr>
        <w:t xml:space="preserve">. Please be advised that the Law on Equal Treatment was amended by Law No XIII-618 of 11 July 2017 providing for an extended list of prohibited grounds for discrimination, including the citizenship as a new prohibited grounds for discrimination. Article 2 of the Law on Equal Treatment </w:t>
      </w:r>
      <w:proofErr w:type="gramStart"/>
      <w:r w:rsidR="00B661B8">
        <w:rPr>
          <w:rFonts w:ascii="Times New Roman" w:hAnsi="Times New Roman"/>
          <w:sz w:val="24"/>
          <w:szCs w:val="24"/>
        </w:rPr>
        <w:t>was amended</w:t>
      </w:r>
      <w:proofErr w:type="gramEnd"/>
      <w:r w:rsidR="00B661B8">
        <w:rPr>
          <w:rFonts w:ascii="Times New Roman" w:hAnsi="Times New Roman"/>
          <w:sz w:val="24"/>
          <w:szCs w:val="24"/>
        </w:rPr>
        <w:t xml:space="preserve"> by supplementing it with paragraph 6 that consolidates the concept of the citizenship and defines the citizenship as ‘the citizenship of the citizens of the European Union and European Economic Area and their family members’. This amendment aims to implement the provisions of Directive 2014/54/EU of the European Parliament and of the Council of 16 April 2014 on measures facilitating the exercise of rights conferred on workers in the context of freedom of movement for workers.</w:t>
      </w:r>
      <w:r w:rsidR="00B661B8">
        <w:rPr>
          <w:rFonts w:ascii="Times New Roman" w:hAnsi="Times New Roman"/>
          <w:color w:val="000000"/>
          <w:sz w:val="24"/>
          <w:szCs w:val="24"/>
        </w:rPr>
        <w:t xml:space="preserve"> Thus, discrimination on grounds of the citizenship (as citizenship is defined in Article 2(6) of the Law on Equal Treatment is prohibited in all areas of application of the Law on Equal Treatment. </w:t>
      </w:r>
    </w:p>
    <w:p w14:paraId="5520207F" w14:textId="571B3FB7" w:rsidR="00B661B8"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olor w:val="000000"/>
          <w:sz w:val="24"/>
          <w:szCs w:val="24"/>
        </w:rPr>
        <w:t>151</w:t>
      </w:r>
      <w:r w:rsidR="00B661B8">
        <w:rPr>
          <w:rFonts w:ascii="Times New Roman" w:hAnsi="Times New Roman"/>
          <w:color w:val="000000"/>
          <w:sz w:val="24"/>
          <w:szCs w:val="24"/>
        </w:rPr>
        <w:t xml:space="preserve">. </w:t>
      </w:r>
      <w:r w:rsidR="00B661B8">
        <w:rPr>
          <w:rFonts w:ascii="Times New Roman" w:hAnsi="Times New Roman"/>
          <w:sz w:val="24"/>
          <w:szCs w:val="24"/>
        </w:rPr>
        <w:t>It is important to note that Law No XII-2768 of 17 November 2016 has extended the competence of the Equal Opportunities Ombudsperson adding new functions, i.e. under the provisions of</w:t>
      </w:r>
      <w:r w:rsidR="001601D9">
        <w:rPr>
          <w:rFonts w:ascii="Times New Roman" w:hAnsi="Times New Roman"/>
          <w:sz w:val="24"/>
          <w:szCs w:val="24"/>
        </w:rPr>
        <w:t xml:space="preserve"> </w:t>
      </w:r>
      <w:r w:rsidR="00B661B8">
        <w:rPr>
          <w:rFonts w:ascii="Times New Roman" w:hAnsi="Times New Roman"/>
          <w:sz w:val="24"/>
          <w:szCs w:val="24"/>
        </w:rPr>
        <w:t>Article 17(2) of the Law on Equal Treatment, the Equal Opportunities Ombudsperson, apart from other mandatory activities, “carries out preventive and educational activities and promotes equal treatment”. It is noteworthy that the Equal Opportunities Ombudsperson can also carry out preventive and educational activities related to the elimination of racial discrimination.</w:t>
      </w:r>
    </w:p>
    <w:p w14:paraId="4C8B9887" w14:textId="4F5AB91B" w:rsidR="00B661B8"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152</w:t>
      </w:r>
      <w:r w:rsidR="00B661B8">
        <w:rPr>
          <w:rFonts w:ascii="Times New Roman" w:hAnsi="Times New Roman"/>
          <w:sz w:val="24"/>
          <w:szCs w:val="24"/>
        </w:rPr>
        <w:t xml:space="preserve">. With reference to recommendation D under Article 2 of the Guidelines for the CERD-Specific Document (CERD/C/2007/1), please find below information on special and concrete measures taken to improve the integration of foreigners, persons who </w:t>
      </w:r>
      <w:proofErr w:type="gramStart"/>
      <w:r w:rsidR="00B661B8">
        <w:rPr>
          <w:rFonts w:ascii="Times New Roman" w:hAnsi="Times New Roman"/>
          <w:sz w:val="24"/>
          <w:szCs w:val="24"/>
        </w:rPr>
        <w:t>were resettled or arrived themselves</w:t>
      </w:r>
      <w:proofErr w:type="gramEnd"/>
      <w:r w:rsidR="00B661B8">
        <w:rPr>
          <w:rFonts w:ascii="Times New Roman" w:hAnsi="Times New Roman"/>
          <w:sz w:val="24"/>
          <w:szCs w:val="24"/>
        </w:rPr>
        <w:t>.</w:t>
      </w:r>
    </w:p>
    <w:p w14:paraId="22675E91" w14:textId="59E38044" w:rsidR="00B661B8" w:rsidRPr="00742FA3" w:rsidRDefault="006714D7" w:rsidP="00B661B8">
      <w:pPr>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szCs w:val="24"/>
        </w:rPr>
        <w:t>153</w:t>
      </w:r>
      <w:r w:rsidR="00B661B8">
        <w:rPr>
          <w:rFonts w:ascii="Times New Roman" w:hAnsi="Times New Roman"/>
          <w:color w:val="000000"/>
          <w:sz w:val="24"/>
          <w:szCs w:val="24"/>
        </w:rPr>
        <w:t>. On 24 January 2016, the Vilnius City</w:t>
      </w:r>
      <w:r w:rsidR="00AC3A56">
        <w:rPr>
          <w:rFonts w:ascii="Times New Roman" w:hAnsi="Times New Roman"/>
          <w:color w:val="000000"/>
          <w:sz w:val="24"/>
          <w:szCs w:val="24"/>
        </w:rPr>
        <w:t xml:space="preserve"> Municipality</w:t>
      </w:r>
      <w:r w:rsidR="00B661B8">
        <w:rPr>
          <w:rFonts w:ascii="Times New Roman" w:hAnsi="Times New Roman"/>
          <w:color w:val="000000"/>
          <w:sz w:val="24"/>
          <w:szCs w:val="24"/>
        </w:rPr>
        <w:t xml:space="preserve"> Council approved the Agreement on Cooperation in the Field of Social Integration of Foreigners concluded between Caritas of the Archdiocese of Vilnius, the Lithuanian </w:t>
      </w:r>
      <w:r w:rsidR="00AC3A56">
        <w:rPr>
          <w:rFonts w:ascii="Times New Roman" w:hAnsi="Times New Roman"/>
          <w:color w:val="000000"/>
          <w:sz w:val="24"/>
          <w:szCs w:val="24"/>
        </w:rPr>
        <w:t xml:space="preserve">Jesuit Province and the </w:t>
      </w:r>
      <w:r w:rsidR="00B661B8">
        <w:rPr>
          <w:rFonts w:ascii="Times New Roman" w:hAnsi="Times New Roman"/>
          <w:color w:val="000000"/>
          <w:sz w:val="24"/>
          <w:szCs w:val="24"/>
        </w:rPr>
        <w:t>Vilnius</w:t>
      </w:r>
      <w:r w:rsidR="00AC3A56">
        <w:rPr>
          <w:rFonts w:ascii="Times New Roman" w:hAnsi="Times New Roman"/>
          <w:color w:val="000000"/>
          <w:sz w:val="24"/>
          <w:szCs w:val="24"/>
        </w:rPr>
        <w:t xml:space="preserve"> City municipality</w:t>
      </w:r>
      <w:r w:rsidR="00B661B8">
        <w:rPr>
          <w:rFonts w:ascii="Times New Roman" w:hAnsi="Times New Roman"/>
          <w:color w:val="000000"/>
          <w:sz w:val="24"/>
          <w:szCs w:val="24"/>
        </w:rPr>
        <w:t xml:space="preserve">, which aims </w:t>
      </w:r>
      <w:r w:rsidR="00B661B8">
        <w:rPr>
          <w:rFonts w:ascii="Times New Roman" w:hAnsi="Times New Roman"/>
          <w:color w:val="000000"/>
          <w:sz w:val="24"/>
          <w:szCs w:val="24"/>
        </w:rPr>
        <w:lastRenderedPageBreak/>
        <w:t>to facilitate the smooth integration of foreigners, who were resettled or arrived in the territory of the Republic of Lithuania and were accommodated in the Vilnius</w:t>
      </w:r>
      <w:r w:rsidR="00AC3A56">
        <w:rPr>
          <w:rFonts w:ascii="Times New Roman" w:hAnsi="Times New Roman"/>
          <w:color w:val="000000"/>
          <w:sz w:val="24"/>
          <w:szCs w:val="24"/>
        </w:rPr>
        <w:t xml:space="preserve"> City municipality</w:t>
      </w:r>
      <w:r w:rsidR="00B661B8">
        <w:rPr>
          <w:rFonts w:ascii="Times New Roman" w:hAnsi="Times New Roman"/>
          <w:color w:val="000000"/>
          <w:sz w:val="24"/>
          <w:szCs w:val="24"/>
        </w:rPr>
        <w:t>.</w:t>
      </w:r>
      <w:proofErr w:type="gramEnd"/>
    </w:p>
    <w:p w14:paraId="72A3AD40" w14:textId="0655C349" w:rsidR="00B661B8" w:rsidRPr="00781329" w:rsidRDefault="006714D7" w:rsidP="00B661B8">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154</w:t>
      </w:r>
      <w:r w:rsidR="00B661B8">
        <w:rPr>
          <w:rFonts w:ascii="Times New Roman" w:hAnsi="Times New Roman"/>
          <w:color w:val="000000"/>
          <w:sz w:val="24"/>
          <w:szCs w:val="24"/>
        </w:rPr>
        <w:t>. In 2017, the Vilnius</w:t>
      </w:r>
      <w:r w:rsidR="00AC3A56">
        <w:rPr>
          <w:rFonts w:ascii="Times New Roman" w:hAnsi="Times New Roman"/>
          <w:color w:val="000000"/>
          <w:sz w:val="24"/>
          <w:szCs w:val="24"/>
        </w:rPr>
        <w:t xml:space="preserve"> City municipality</w:t>
      </w:r>
      <w:r w:rsidR="00B661B8">
        <w:rPr>
          <w:rFonts w:ascii="Times New Roman" w:hAnsi="Times New Roman"/>
          <w:color w:val="000000"/>
          <w:sz w:val="24"/>
          <w:szCs w:val="24"/>
        </w:rPr>
        <w:t xml:space="preserve"> financed 25 projects for the cultural integration of national minorities. (See Annex 2)</w:t>
      </w:r>
    </w:p>
    <w:p w14:paraId="0C3A6285" w14:textId="77777777" w:rsidR="00B661B8" w:rsidRPr="00781329" w:rsidRDefault="00B661B8" w:rsidP="00B661B8">
      <w:pPr>
        <w:pStyle w:val="Heading2"/>
        <w:spacing w:before="100" w:beforeAutospacing="1" w:after="100" w:afterAutospacing="1"/>
        <w:jc w:val="both"/>
        <w:rPr>
          <w:rFonts w:cs="Times New Roman"/>
          <w:szCs w:val="24"/>
        </w:rPr>
      </w:pPr>
      <w:bookmarkStart w:id="10" w:name="_Toc500317701"/>
      <w:bookmarkStart w:id="11" w:name="_Toc503943136"/>
      <w:r>
        <w:t>ARTICLE 3</w:t>
      </w:r>
      <w:bookmarkEnd w:id="10"/>
      <w:bookmarkEnd w:id="11"/>
    </w:p>
    <w:p w14:paraId="36E23BF1" w14:textId="1DAD8E5D" w:rsidR="00B661B8" w:rsidRPr="00781329"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155</w:t>
      </w:r>
      <w:r w:rsidR="00B661B8">
        <w:rPr>
          <w:rFonts w:ascii="Times New Roman" w:hAnsi="Times New Roman"/>
          <w:sz w:val="24"/>
          <w:szCs w:val="24"/>
        </w:rPr>
        <w:t xml:space="preserve">. The Action Plan for Promotion of Non-discrimination for 2011-2019 coordinated by the Ministry of Social Security and Labour covers the following areas of activity: improvement of legal regulation; public information and education; non-discrimination research and reviews; strengthening inter-institutional cooperation. </w:t>
      </w:r>
      <w:proofErr w:type="gramStart"/>
      <w:r w:rsidR="00B661B8">
        <w:rPr>
          <w:rFonts w:ascii="Times New Roman" w:hAnsi="Times New Roman"/>
          <w:sz w:val="24"/>
          <w:szCs w:val="24"/>
        </w:rPr>
        <w:t>The Action Plan measures are expected to increase respect for a person regardless of his gender, race, nationality, language, origin, social status, belief, beliefs or views, age, sexual orientation, disability, ethnicity, religion, to increase public tolerance, reduce discrimination against other people , to improve the legislation ensuring equal opportunities for participation in public life and measures for their effective implementation, an</w:t>
      </w:r>
      <w:r w:rsidR="0070072F">
        <w:rPr>
          <w:rFonts w:ascii="Times New Roman" w:hAnsi="Times New Roman"/>
          <w:sz w:val="24"/>
          <w:szCs w:val="24"/>
        </w:rPr>
        <w:t>d</w:t>
      </w:r>
      <w:r w:rsidR="00B661B8">
        <w:rPr>
          <w:rFonts w:ascii="Times New Roman" w:hAnsi="Times New Roman"/>
          <w:sz w:val="24"/>
          <w:szCs w:val="24"/>
        </w:rPr>
        <w:t xml:space="preserve"> to strengthen inter-institutional cooperation in the field of non-discrimination.</w:t>
      </w:r>
      <w:proofErr w:type="gramEnd"/>
    </w:p>
    <w:p w14:paraId="20226C29" w14:textId="582211D9" w:rsidR="00B661B8" w:rsidRPr="00781329" w:rsidRDefault="006714D7" w:rsidP="00B661B8">
      <w:pPr>
        <w:spacing w:before="100" w:beforeAutospacing="1" w:after="100" w:afterAutospacing="1" w:line="240" w:lineRule="auto"/>
        <w:jc w:val="both"/>
        <w:rPr>
          <w:rFonts w:ascii="Times New Roman" w:hAnsi="Times New Roman" w:cs="Times New Roman"/>
          <w:sz w:val="24"/>
          <w:szCs w:val="24"/>
        </w:rPr>
      </w:pPr>
      <w:proofErr w:type="gramStart"/>
      <w:r>
        <w:rPr>
          <w:rFonts w:ascii="Times New Roman" w:hAnsi="Times New Roman"/>
          <w:sz w:val="24"/>
          <w:szCs w:val="24"/>
        </w:rPr>
        <w:t>156</w:t>
      </w:r>
      <w:r w:rsidR="00B661B8">
        <w:rPr>
          <w:rFonts w:ascii="Times New Roman" w:hAnsi="Times New Roman"/>
          <w:sz w:val="24"/>
          <w:szCs w:val="24"/>
        </w:rPr>
        <w:t>. The implementation of the Plan is overseen by the Ministry of Social Security and Labour, thus ensuring the coordination of the activities of the Lithuanian authorities and the implementation of the Plan</w:t>
      </w:r>
      <w:proofErr w:type="gramEnd"/>
      <w:r w:rsidR="00B661B8">
        <w:rPr>
          <w:rFonts w:ascii="Times New Roman" w:hAnsi="Times New Roman"/>
          <w:sz w:val="24"/>
          <w:szCs w:val="24"/>
        </w:rPr>
        <w:t>.</w:t>
      </w:r>
    </w:p>
    <w:p w14:paraId="639C320A" w14:textId="77777777" w:rsidR="00B661B8" w:rsidRPr="00781329" w:rsidRDefault="00B661B8" w:rsidP="00B661B8">
      <w:pPr>
        <w:pStyle w:val="Heading2"/>
        <w:spacing w:before="100" w:beforeAutospacing="1" w:after="100" w:afterAutospacing="1"/>
        <w:jc w:val="both"/>
        <w:rPr>
          <w:rFonts w:cs="Times New Roman"/>
          <w:szCs w:val="24"/>
        </w:rPr>
      </w:pPr>
      <w:bookmarkStart w:id="12" w:name="_Toc500317702"/>
      <w:bookmarkStart w:id="13" w:name="_Toc503943137"/>
      <w:r>
        <w:t>ARTICLE 4</w:t>
      </w:r>
      <w:bookmarkEnd w:id="12"/>
      <w:bookmarkEnd w:id="13"/>
    </w:p>
    <w:p w14:paraId="7A389EF8" w14:textId="5307FFAD" w:rsidR="00B661B8" w:rsidRPr="00781329"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157</w:t>
      </w:r>
      <w:r w:rsidR="00B661B8">
        <w:rPr>
          <w:rFonts w:ascii="Times New Roman" w:hAnsi="Times New Roman"/>
          <w:sz w:val="24"/>
          <w:szCs w:val="24"/>
        </w:rPr>
        <w:t>. Article 29 of the Constitution of the Republi</w:t>
      </w:r>
      <w:r w:rsidR="003237F9">
        <w:rPr>
          <w:rFonts w:ascii="Times New Roman" w:hAnsi="Times New Roman"/>
          <w:sz w:val="24"/>
          <w:szCs w:val="24"/>
        </w:rPr>
        <w:t>c of Lithuania stipulates that a</w:t>
      </w:r>
      <w:r w:rsidR="00B661B8">
        <w:rPr>
          <w:rFonts w:ascii="Times New Roman" w:hAnsi="Times New Roman"/>
          <w:sz w:val="24"/>
          <w:szCs w:val="24"/>
        </w:rPr>
        <w:t xml:space="preserve"> person may not have his rights restricted in any way, or be granted any privileges, on the basis of his or her sex, race, nationality, language, origin, social status, religion, convictions, or opinions. Other (the above-mentioned</w:t>
      </w:r>
      <w:r w:rsidR="003237F9">
        <w:rPr>
          <w:rFonts w:ascii="Times New Roman" w:hAnsi="Times New Roman"/>
          <w:sz w:val="24"/>
          <w:szCs w:val="24"/>
        </w:rPr>
        <w:t>)</w:t>
      </w:r>
      <w:r w:rsidR="00B661B8">
        <w:rPr>
          <w:rFonts w:ascii="Times New Roman" w:hAnsi="Times New Roman"/>
          <w:sz w:val="24"/>
          <w:szCs w:val="24"/>
        </w:rPr>
        <w:t xml:space="preserve"> laws ensure the implementation of this constitutional principle. </w:t>
      </w:r>
    </w:p>
    <w:p w14:paraId="69377B2A" w14:textId="413C92D9" w:rsidR="00B661B8" w:rsidRPr="00781329" w:rsidRDefault="006714D7" w:rsidP="00B661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sz w:val="24"/>
          <w:szCs w:val="24"/>
        </w:rPr>
        <w:t>158</w:t>
      </w:r>
      <w:r w:rsidR="00B661B8">
        <w:rPr>
          <w:rFonts w:ascii="Times New Roman" w:hAnsi="Times New Roman"/>
          <w:sz w:val="24"/>
          <w:szCs w:val="24"/>
        </w:rPr>
        <w:t xml:space="preserve">. Additional measures to ensure the principle of non-discrimination </w:t>
      </w:r>
      <w:proofErr w:type="gramStart"/>
      <w:r w:rsidR="00B661B8">
        <w:rPr>
          <w:rFonts w:ascii="Times New Roman" w:hAnsi="Times New Roman"/>
          <w:sz w:val="24"/>
          <w:szCs w:val="24"/>
        </w:rPr>
        <w:t>were taken</w:t>
      </w:r>
      <w:proofErr w:type="gramEnd"/>
      <w:r w:rsidR="00B661B8">
        <w:rPr>
          <w:rFonts w:ascii="Times New Roman" w:hAnsi="Times New Roman"/>
          <w:sz w:val="24"/>
          <w:szCs w:val="24"/>
        </w:rPr>
        <w:t xml:space="preserve"> in the above-mentioned Action Plan for Promotion of Non-discrimination for 2011-2019.</w:t>
      </w:r>
    </w:p>
    <w:p w14:paraId="107CE9D4" w14:textId="77777777" w:rsidR="00B661B8" w:rsidRPr="00781329" w:rsidRDefault="00B661B8" w:rsidP="00B661B8">
      <w:pPr>
        <w:pStyle w:val="Heading2"/>
        <w:spacing w:before="100" w:beforeAutospacing="1" w:after="100" w:afterAutospacing="1"/>
        <w:jc w:val="both"/>
        <w:rPr>
          <w:rFonts w:cs="Times New Roman"/>
          <w:szCs w:val="24"/>
        </w:rPr>
      </w:pPr>
      <w:bookmarkStart w:id="14" w:name="_Toc500317703"/>
      <w:bookmarkStart w:id="15" w:name="_Toc503943138"/>
      <w:r>
        <w:t>ARTICLE 5</w:t>
      </w:r>
      <w:bookmarkEnd w:id="14"/>
      <w:bookmarkEnd w:id="15"/>
    </w:p>
    <w:p w14:paraId="23232F40" w14:textId="77777777" w:rsidR="00B661B8" w:rsidRPr="00BA5F93" w:rsidRDefault="00B661B8" w:rsidP="00B661B8">
      <w:pPr>
        <w:pStyle w:val="Pagrindiniotekstotrauka31"/>
        <w:ind w:firstLine="0"/>
      </w:pPr>
      <w:r>
        <w:t xml:space="preserve">I. Political and civil rights </w:t>
      </w:r>
    </w:p>
    <w:p w14:paraId="17D87DCC" w14:textId="6E0F4C5E" w:rsidR="00B661B8" w:rsidRDefault="006714D7" w:rsidP="00B661B8">
      <w:pPr>
        <w:suppressAutoHyphens/>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hAnsi="Times New Roman"/>
          <w:sz w:val="24"/>
          <w:szCs w:val="24"/>
        </w:rPr>
        <w:t>159</w:t>
      </w:r>
      <w:r w:rsidR="00B661B8">
        <w:rPr>
          <w:rFonts w:ascii="Times New Roman" w:hAnsi="Times New Roman"/>
          <w:sz w:val="24"/>
          <w:szCs w:val="24"/>
        </w:rPr>
        <w:t>. Article 29 of the Constitution of the Republic of Lithuania provides that all people shall be equal before the law, the court, and other State institutions and officers.</w:t>
      </w:r>
      <w:r w:rsidR="001601D9">
        <w:rPr>
          <w:rFonts w:ascii="Times New Roman" w:hAnsi="Times New Roman"/>
          <w:sz w:val="24"/>
          <w:szCs w:val="24"/>
        </w:rPr>
        <w:t xml:space="preserve"> </w:t>
      </w:r>
      <w:r w:rsidR="00B661B8">
        <w:rPr>
          <w:rFonts w:ascii="Times New Roman" w:hAnsi="Times New Roman"/>
          <w:bCs/>
          <w:sz w:val="24"/>
          <w:szCs w:val="24"/>
        </w:rPr>
        <w:t>Articles 169, 170, 170</w:t>
      </w:r>
      <w:r w:rsidR="00B661B8">
        <w:rPr>
          <w:rFonts w:ascii="Times New Roman" w:hAnsi="Times New Roman"/>
          <w:bCs/>
          <w:sz w:val="24"/>
          <w:szCs w:val="24"/>
          <w:vertAlign w:val="superscript"/>
        </w:rPr>
        <w:t>1</w:t>
      </w:r>
      <w:r w:rsidR="00B661B8">
        <w:rPr>
          <w:rFonts w:ascii="Times New Roman" w:hAnsi="Times New Roman"/>
          <w:bCs/>
          <w:sz w:val="24"/>
          <w:szCs w:val="24"/>
        </w:rPr>
        <w:t xml:space="preserve"> of CC provide for criminal liability for discrimination.</w:t>
      </w:r>
    </w:p>
    <w:p w14:paraId="675EC2E3" w14:textId="48B6B5A3" w:rsidR="00B661B8" w:rsidRPr="00B63097"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160</w:t>
      </w:r>
      <w:r w:rsidR="00B661B8">
        <w:rPr>
          <w:rFonts w:ascii="Times New Roman" w:hAnsi="Times New Roman"/>
          <w:sz w:val="24"/>
          <w:szCs w:val="24"/>
        </w:rPr>
        <w:t>. Legal acts regulating the exercise of the right of citizens to take part in the Government and in the conduct of public affairs at any level, and equal access to public service do not impose any restrictions on grounds of race, skin colour, nationality or ethnicity.</w:t>
      </w:r>
    </w:p>
    <w:p w14:paraId="39677F1E" w14:textId="77777777" w:rsidR="00B661B8" w:rsidRPr="00781329" w:rsidRDefault="001601D9" w:rsidP="00B661B8">
      <w:pPr>
        <w:suppressAutoHyphens/>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hAnsi="Times New Roman"/>
          <w:i/>
          <w:sz w:val="24"/>
          <w:szCs w:val="24"/>
        </w:rPr>
        <w:t>L</w:t>
      </w:r>
      <w:r w:rsidR="003237F9">
        <w:rPr>
          <w:rFonts w:ascii="Times New Roman" w:hAnsi="Times New Roman"/>
          <w:i/>
          <w:sz w:val="24"/>
          <w:szCs w:val="24"/>
        </w:rPr>
        <w:t>egislation</w:t>
      </w:r>
    </w:p>
    <w:p w14:paraId="52847704" w14:textId="290A9539"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16</w:t>
      </w:r>
      <w:r w:rsidR="00B661B8">
        <w:rPr>
          <w:rFonts w:ascii="Times New Roman" w:hAnsi="Times New Roman"/>
          <w:sz w:val="24"/>
          <w:szCs w:val="24"/>
        </w:rPr>
        <w:t xml:space="preserve">1. A Law on Legislative Framework of the Republic of Lithuania came into effect on 1 January 2014 providing for public consultations (Article 7). </w:t>
      </w:r>
      <w:proofErr w:type="gramStart"/>
      <w:r w:rsidR="00B661B8">
        <w:rPr>
          <w:rFonts w:ascii="Times New Roman" w:hAnsi="Times New Roman"/>
          <w:sz w:val="24"/>
          <w:szCs w:val="24"/>
        </w:rPr>
        <w:t xml:space="preserve">The purpose of the public consultation is to ensure openness of the legislation, transparency, to find out public opinion about the problems of legal regulation and ways to address them, to enable people to influence the content of the draft legislation, </w:t>
      </w:r>
      <w:r w:rsidR="00B661B8">
        <w:rPr>
          <w:rFonts w:ascii="Times New Roman" w:hAnsi="Times New Roman"/>
          <w:sz w:val="24"/>
          <w:szCs w:val="24"/>
        </w:rPr>
        <w:lastRenderedPageBreak/>
        <w:t>to better assess the positive and negative consequences of the foreseen legal regulation, the costs of its implementation, to submit proposals for legislative initiatives and draft legislation, as well as for legal regulation under monitoring.</w:t>
      </w:r>
      <w:proofErr w:type="gramEnd"/>
      <w:r w:rsidR="00B661B8">
        <w:rPr>
          <w:rFonts w:ascii="Times New Roman" w:hAnsi="Times New Roman"/>
          <w:sz w:val="24"/>
          <w:szCs w:val="24"/>
        </w:rPr>
        <w:t xml:space="preserve"> Following the Law on Legislative Framework, the public must be consulted in a timely manner and on issues of substance (effectiveness of consultation), as well as to the extent necessary (proportionality of consultation). The Law on Legislative Framework also provides for the impact assessment institute (Article 15), monitoring of legal regulation (fourth section) and other instruments aimed at as wide as possible public involvement (both natural and legal persons) in the decision-making process and assessment of the impact of legal regulation on public relations. It needs to </w:t>
      </w:r>
      <w:proofErr w:type="gramStart"/>
      <w:r w:rsidR="00B661B8">
        <w:rPr>
          <w:rFonts w:ascii="Times New Roman" w:hAnsi="Times New Roman"/>
          <w:sz w:val="24"/>
          <w:szCs w:val="24"/>
        </w:rPr>
        <w:t>be noted</w:t>
      </w:r>
      <w:proofErr w:type="gramEnd"/>
      <w:r w:rsidR="00B661B8">
        <w:rPr>
          <w:rFonts w:ascii="Times New Roman" w:hAnsi="Times New Roman"/>
          <w:sz w:val="24"/>
          <w:szCs w:val="24"/>
        </w:rPr>
        <w:t xml:space="preserve"> that all persons have equal rights to use the means provided by the Law on Legislative Framework as regards the participation in decision-making, regardless of race, colour, nationality or ethnic origin. </w:t>
      </w:r>
    </w:p>
    <w:p w14:paraId="3ED6BB7B" w14:textId="67212B73"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16</w:t>
      </w:r>
      <w:r w:rsidR="00B661B8">
        <w:rPr>
          <w:rFonts w:ascii="Times New Roman" w:hAnsi="Times New Roman"/>
          <w:sz w:val="24"/>
          <w:szCs w:val="24"/>
        </w:rPr>
        <w:t>2. The Plan for the Implementation of the Programme of the Government of the Republic of Lithuania provides for continued improvement of the legislative processes. It is worth mentioning the review of the application of better regulation tools (impact assessment, reduced administrative burden, monitoring of legal regulation, public consultation, etc.) in the legislative process, strengthening of interconnections and efficiency, as well as preparation of an ex-post evaluation model in the Lithuanian legal system and its introduction in the cycle of the legislative process.</w:t>
      </w:r>
    </w:p>
    <w:p w14:paraId="4EE32E28" w14:textId="77777777" w:rsidR="00B661B8" w:rsidRPr="00781329" w:rsidRDefault="00B661B8" w:rsidP="00B661B8">
      <w:pPr>
        <w:suppressAutoHyphens/>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hAnsi="Times New Roman"/>
          <w:i/>
          <w:sz w:val="24"/>
          <w:szCs w:val="24"/>
        </w:rPr>
        <w:t>Political parties</w:t>
      </w:r>
    </w:p>
    <w:p w14:paraId="7C6E9184" w14:textId="4D0FD469"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16</w:t>
      </w:r>
      <w:r w:rsidR="00B661B8">
        <w:rPr>
          <w:rFonts w:ascii="Times New Roman" w:hAnsi="Times New Roman"/>
          <w:sz w:val="24"/>
          <w:szCs w:val="24"/>
        </w:rPr>
        <w:t xml:space="preserve">3. Article 35 of the Constitution of the Republic of Lithuania provides for the right </w:t>
      </w:r>
      <w:proofErr w:type="gramStart"/>
      <w:r w:rsidR="00B661B8">
        <w:rPr>
          <w:rFonts w:ascii="Times New Roman" w:hAnsi="Times New Roman"/>
          <w:sz w:val="24"/>
          <w:szCs w:val="24"/>
        </w:rPr>
        <w:t>to freely form</w:t>
      </w:r>
      <w:proofErr w:type="gramEnd"/>
      <w:r w:rsidR="00B661B8">
        <w:rPr>
          <w:rFonts w:ascii="Times New Roman" w:hAnsi="Times New Roman"/>
          <w:sz w:val="24"/>
          <w:szCs w:val="24"/>
        </w:rPr>
        <w:t xml:space="preserve"> political parties, and associations. </w:t>
      </w:r>
      <w:proofErr w:type="gramStart"/>
      <w:r w:rsidR="00B661B8">
        <w:rPr>
          <w:rFonts w:ascii="Times New Roman" w:hAnsi="Times New Roman"/>
          <w:sz w:val="24"/>
          <w:szCs w:val="24"/>
        </w:rPr>
        <w:t>It needs to be noted that in order to enable the citizens of the European Union to participate in the political life of the Republic of Lithuania, the Law on Political Parties provides, as of 1 January 2015, that political party members may be not only citizens of the Republic of Lithuania who have reached the age of 18 but also citizens of the Member States of the European Union who permanently reside in the territory of the Republic of Lithuania and who have reached the age of 18 and are not members of other parties or political organisations.</w:t>
      </w:r>
      <w:proofErr w:type="gramEnd"/>
    </w:p>
    <w:p w14:paraId="38D15EC1" w14:textId="77777777" w:rsidR="00B661B8" w:rsidRPr="00781329" w:rsidRDefault="00B661B8" w:rsidP="00B661B8">
      <w:pPr>
        <w:suppressAutoHyphens/>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hAnsi="Times New Roman"/>
          <w:i/>
          <w:sz w:val="24"/>
          <w:szCs w:val="24"/>
        </w:rPr>
        <w:t>Elections</w:t>
      </w:r>
    </w:p>
    <w:p w14:paraId="532CD7DF" w14:textId="1840EAF2"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hAnsi="Times New Roman"/>
          <w:sz w:val="24"/>
          <w:szCs w:val="24"/>
        </w:rPr>
        <w:t>16</w:t>
      </w:r>
      <w:r w:rsidR="00B661B8">
        <w:rPr>
          <w:rFonts w:ascii="Times New Roman" w:hAnsi="Times New Roman"/>
          <w:sz w:val="24"/>
          <w:szCs w:val="24"/>
        </w:rPr>
        <w:t>4. Since 2014, according to the legal regulation of the Republic of Lithuania, candidates to the European Parliament and municipal council may be nominated by political parties and public election committees</w:t>
      </w:r>
      <w:proofErr w:type="gramEnd"/>
      <w:r w:rsidR="00B661B8">
        <w:rPr>
          <w:rFonts w:ascii="Times New Roman" w:hAnsi="Times New Roman"/>
          <w:sz w:val="24"/>
          <w:szCs w:val="24"/>
        </w:rPr>
        <w:t xml:space="preserve">. A public election committee means a group of electors formed in accordance with the Law on Elections to the European Parliament or the Law on Elections to Municipal Councils entitled to nominate a list of candidates for elections to the European Parliament or to municipal councils. The election committee consists of voters who must have at least twice the number of Members of the European Parliament to </w:t>
      </w:r>
      <w:proofErr w:type="gramStart"/>
      <w:r w:rsidR="00B661B8">
        <w:rPr>
          <w:rFonts w:ascii="Times New Roman" w:hAnsi="Times New Roman"/>
          <w:sz w:val="24"/>
          <w:szCs w:val="24"/>
        </w:rPr>
        <w:t>be elected</w:t>
      </w:r>
      <w:proofErr w:type="gramEnd"/>
      <w:r w:rsidR="00B661B8">
        <w:rPr>
          <w:rFonts w:ascii="Times New Roman" w:hAnsi="Times New Roman"/>
          <w:sz w:val="24"/>
          <w:szCs w:val="24"/>
        </w:rPr>
        <w:t xml:space="preserve"> in the Republic of Lithuania or at least twice the number of council members to be elected in municipal councils.</w:t>
      </w:r>
      <w:r w:rsidR="00B661B8">
        <w:rPr>
          <w:rFonts w:ascii="Times New Roman" w:hAnsi="Times New Roman"/>
          <w:b/>
          <w:sz w:val="24"/>
          <w:szCs w:val="24"/>
        </w:rPr>
        <w:t xml:space="preserve"> </w:t>
      </w:r>
      <w:proofErr w:type="gramStart"/>
      <w:r w:rsidR="00B661B8">
        <w:rPr>
          <w:rFonts w:ascii="Times New Roman" w:hAnsi="Times New Roman"/>
          <w:sz w:val="24"/>
          <w:szCs w:val="24"/>
        </w:rPr>
        <w:t>Election committees are registered by the Central Electoral Commission</w:t>
      </w:r>
      <w:proofErr w:type="gramEnd"/>
      <w:r w:rsidR="00B661B8">
        <w:rPr>
          <w:rFonts w:ascii="Times New Roman" w:hAnsi="Times New Roman"/>
          <w:sz w:val="24"/>
          <w:szCs w:val="24"/>
        </w:rPr>
        <w:t>.</w:t>
      </w:r>
    </w:p>
    <w:p w14:paraId="7A6263F8" w14:textId="0474E255" w:rsidR="00B661B8"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16</w:t>
      </w:r>
      <w:r w:rsidR="00B661B8">
        <w:rPr>
          <w:rFonts w:ascii="Times New Roman" w:hAnsi="Times New Roman"/>
          <w:sz w:val="24"/>
          <w:szCs w:val="24"/>
        </w:rPr>
        <w:t xml:space="preserve">5. It needs to be noted that every permanent resident of the municipality who on the day of election is twenty years of age may nominate himself, be nominated by a party or the election committee to run for the office of a councillor or mayor in local elections. </w:t>
      </w:r>
    </w:p>
    <w:p w14:paraId="2BA218C1" w14:textId="77777777" w:rsidR="00B661B8" w:rsidRDefault="00B661B8" w:rsidP="00B661B8">
      <w:pPr>
        <w:pStyle w:val="Pagrindiniotekstotrauka31"/>
        <w:ind w:firstLine="0"/>
      </w:pPr>
      <w:r>
        <w:t>II. Legal status of certain groups of people and measures applicable for their integration.</w:t>
      </w:r>
    </w:p>
    <w:p w14:paraId="049C811A" w14:textId="30C899E1" w:rsidR="00B661B8" w:rsidRPr="00BA5F93" w:rsidRDefault="00A342B5" w:rsidP="00B661B8">
      <w:pPr>
        <w:pStyle w:val="Pagrindiniotekstotrauka31"/>
        <w:ind w:firstLine="0"/>
      </w:pPr>
      <w:r>
        <w:t>16</w:t>
      </w:r>
      <w:r w:rsidR="00B661B8">
        <w:t>6. See the above information on the integration of the Roma as well as the integration of migrants, refugees and incomers.</w:t>
      </w:r>
    </w:p>
    <w:p w14:paraId="031185E3" w14:textId="77777777" w:rsidR="00B661B8" w:rsidRPr="00781329" w:rsidRDefault="00B661B8" w:rsidP="00B661B8">
      <w:pPr>
        <w:pStyle w:val="Heading2"/>
        <w:spacing w:before="100" w:beforeAutospacing="1" w:after="100" w:afterAutospacing="1"/>
        <w:jc w:val="both"/>
        <w:rPr>
          <w:rFonts w:cs="Times New Roman"/>
          <w:szCs w:val="24"/>
        </w:rPr>
      </w:pPr>
      <w:bookmarkStart w:id="16" w:name="_Toc500317704"/>
      <w:bookmarkStart w:id="17" w:name="_Toc503943139"/>
      <w:r>
        <w:lastRenderedPageBreak/>
        <w:t>ARTICLE 6</w:t>
      </w:r>
      <w:bookmarkEnd w:id="16"/>
      <w:bookmarkEnd w:id="17"/>
    </w:p>
    <w:p w14:paraId="5249F4DC" w14:textId="4136BCD7"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16</w:t>
      </w:r>
      <w:r w:rsidR="00B661B8">
        <w:rPr>
          <w:rFonts w:ascii="Times New Roman" w:hAnsi="Times New Roman"/>
          <w:sz w:val="24"/>
          <w:szCs w:val="24"/>
        </w:rPr>
        <w:t xml:space="preserve">7. Since 2014, a number of amendments </w:t>
      </w:r>
      <w:proofErr w:type="gramStart"/>
      <w:r w:rsidR="00B661B8">
        <w:rPr>
          <w:rFonts w:ascii="Times New Roman" w:hAnsi="Times New Roman"/>
          <w:sz w:val="24"/>
          <w:szCs w:val="24"/>
        </w:rPr>
        <w:t>have been adopted</w:t>
      </w:r>
      <w:proofErr w:type="gramEnd"/>
      <w:r w:rsidR="00B661B8">
        <w:rPr>
          <w:rFonts w:ascii="Times New Roman" w:hAnsi="Times New Roman"/>
          <w:sz w:val="24"/>
          <w:szCs w:val="24"/>
        </w:rPr>
        <w:t xml:space="preserve"> to the Law on Criminal Procedure related to the protection of victims and the strengthening of their situation in the criminal proceedings.</w:t>
      </w:r>
    </w:p>
    <w:p w14:paraId="7A4379E2" w14:textId="77777777" w:rsidR="00B661B8" w:rsidRPr="00781329" w:rsidRDefault="00B661B8" w:rsidP="00B661B8">
      <w:pPr>
        <w:suppressAutoHyphens/>
        <w:spacing w:before="100" w:beforeAutospacing="1" w:after="100" w:afterAutospacing="1" w:line="240" w:lineRule="auto"/>
        <w:ind w:left="567"/>
        <w:jc w:val="both"/>
        <w:rPr>
          <w:rFonts w:ascii="Times New Roman" w:eastAsia="Times New Roman" w:hAnsi="Times New Roman" w:cs="Times New Roman"/>
          <w:sz w:val="24"/>
          <w:szCs w:val="24"/>
        </w:rPr>
      </w:pPr>
      <w:r>
        <w:rPr>
          <w:rFonts w:ascii="Times New Roman" w:hAnsi="Times New Roman"/>
          <w:sz w:val="24"/>
          <w:szCs w:val="24"/>
        </w:rPr>
        <w:t xml:space="preserve">1. On 25 of March 2014, CCP amendments came into force providing for the protection of minors in criminal proceedings by expanding the list of circumstances for holding a closed court hearing. A closed court hearing </w:t>
      </w:r>
      <w:proofErr w:type="gramStart"/>
      <w:r>
        <w:rPr>
          <w:rFonts w:ascii="Times New Roman" w:hAnsi="Times New Roman"/>
          <w:sz w:val="24"/>
          <w:szCs w:val="24"/>
        </w:rPr>
        <w:t>may be held</w:t>
      </w:r>
      <w:proofErr w:type="gramEnd"/>
      <w:r>
        <w:rPr>
          <w:rFonts w:ascii="Times New Roman" w:hAnsi="Times New Roman"/>
          <w:sz w:val="24"/>
          <w:szCs w:val="24"/>
        </w:rPr>
        <w:t xml:space="preserve"> only if a minor is recognized as a victim. The amendments consolidate provisions on compulsory audio and video recording both during the pre-trial investigation and in the actual proceedings, in order to ensure that the child </w:t>
      </w:r>
      <w:proofErr w:type="gramStart"/>
      <w:r>
        <w:rPr>
          <w:rFonts w:ascii="Times New Roman" w:hAnsi="Times New Roman"/>
          <w:sz w:val="24"/>
          <w:szCs w:val="24"/>
        </w:rPr>
        <w:t>should not be summoned</w:t>
      </w:r>
      <w:proofErr w:type="gramEnd"/>
      <w:r>
        <w:rPr>
          <w:rFonts w:ascii="Times New Roman" w:hAnsi="Times New Roman"/>
          <w:sz w:val="24"/>
          <w:szCs w:val="24"/>
        </w:rPr>
        <w:t xml:space="preserve"> to court hearing at all. Following the consolidation of the compulsory recording during the pre-trial investigation, the recording </w:t>
      </w:r>
      <w:proofErr w:type="gramStart"/>
      <w:r>
        <w:rPr>
          <w:rFonts w:ascii="Times New Roman" w:hAnsi="Times New Roman"/>
          <w:sz w:val="24"/>
          <w:szCs w:val="24"/>
        </w:rPr>
        <w:t>can be run</w:t>
      </w:r>
      <w:proofErr w:type="gramEnd"/>
      <w:r>
        <w:rPr>
          <w:rFonts w:ascii="Times New Roman" w:hAnsi="Times New Roman"/>
          <w:sz w:val="24"/>
          <w:szCs w:val="24"/>
        </w:rPr>
        <w:t xml:space="preserve"> during the trial examination at the trial hearing. If a child </w:t>
      </w:r>
      <w:proofErr w:type="gramStart"/>
      <w:r>
        <w:rPr>
          <w:rFonts w:ascii="Times New Roman" w:hAnsi="Times New Roman"/>
          <w:sz w:val="24"/>
          <w:szCs w:val="24"/>
        </w:rPr>
        <w:t>is summoned</w:t>
      </w:r>
      <w:proofErr w:type="gramEnd"/>
      <w:r>
        <w:rPr>
          <w:rFonts w:ascii="Times New Roman" w:hAnsi="Times New Roman"/>
          <w:sz w:val="24"/>
          <w:szCs w:val="24"/>
        </w:rPr>
        <w:t xml:space="preserve"> before the court, he shall be ensured a possibility of not being in the same room with the other parties to the proceedings, as well as a possibility of being interviewed by using audio and video recording equipment.</w:t>
      </w:r>
    </w:p>
    <w:p w14:paraId="09A7BB68" w14:textId="77777777" w:rsidR="00B661B8" w:rsidRPr="00781329" w:rsidRDefault="00B661B8" w:rsidP="00B661B8">
      <w:pPr>
        <w:suppressAutoHyphens/>
        <w:spacing w:before="100" w:beforeAutospacing="1" w:after="100" w:afterAutospacing="1" w:line="240" w:lineRule="auto"/>
        <w:ind w:left="567"/>
        <w:jc w:val="both"/>
        <w:rPr>
          <w:rFonts w:ascii="Times New Roman" w:eastAsia="Times New Roman" w:hAnsi="Times New Roman" w:cs="Times New Roman"/>
          <w:sz w:val="24"/>
          <w:szCs w:val="24"/>
        </w:rPr>
      </w:pPr>
      <w:proofErr w:type="gramStart"/>
      <w:r>
        <w:rPr>
          <w:rFonts w:ascii="Times New Roman" w:hAnsi="Times New Roman"/>
          <w:sz w:val="24"/>
          <w:szCs w:val="24"/>
        </w:rPr>
        <w:t>2. On the 23rd of July 2014, the CCP amendments came into force providing for conditions to better protect the rights and legitimate interests of the victims of criminal proceedings that may result in a mental trauma or have other serious consequences, to minimise secondary victimisation, to enable them to give correct testimony unhindered: it has been established that the court may now choose not to hold open proceedings where it is believed that it may result in a mental trauma or other serious consequences for the victim.</w:t>
      </w:r>
      <w:proofErr w:type="gramEnd"/>
      <w:r>
        <w:rPr>
          <w:rFonts w:ascii="Times New Roman" w:hAnsi="Times New Roman"/>
          <w:sz w:val="24"/>
          <w:szCs w:val="24"/>
        </w:rPr>
        <w:t xml:space="preserve"> </w:t>
      </w:r>
      <w:proofErr w:type="gramStart"/>
      <w:r>
        <w:rPr>
          <w:rFonts w:ascii="Times New Roman" w:hAnsi="Times New Roman"/>
          <w:sz w:val="24"/>
          <w:szCs w:val="24"/>
        </w:rPr>
        <w:t>It has been foreseen that the rules for hearing juvenile witnesses and victims in the pre-trial investigation are also applicable in the case of individuals that are likely to suffer a mental trauma or other serious consequences as a result of the hearing , i.e. such individuals could be heard by a judge of pre-trial investigation, they could be heard only one time, and audio and video recordings could be made during their hearing, and such individuals could be summoned to a hearing only in exceptional cases, and so on.</w:t>
      </w:r>
      <w:proofErr w:type="gramEnd"/>
      <w:r>
        <w:rPr>
          <w:rFonts w:ascii="Times New Roman" w:hAnsi="Times New Roman"/>
          <w:b/>
          <w:sz w:val="24"/>
          <w:szCs w:val="24"/>
        </w:rPr>
        <w:t xml:space="preserve"> </w:t>
      </w:r>
      <w:r>
        <w:rPr>
          <w:rFonts w:ascii="Times New Roman" w:hAnsi="Times New Roman"/>
          <w:sz w:val="24"/>
          <w:szCs w:val="24"/>
        </w:rPr>
        <w:t xml:space="preserve">Respective amendments have been made regarding the hearing during the proceedings, i.e. providing for a possibility of reading out the testimony given to the pre-trial judge by the victim that is likely to suffer a mental trauma or other serious consequences </w:t>
      </w:r>
      <w:proofErr w:type="gramStart"/>
      <w:r>
        <w:rPr>
          <w:rFonts w:ascii="Times New Roman" w:hAnsi="Times New Roman"/>
          <w:sz w:val="24"/>
          <w:szCs w:val="24"/>
        </w:rPr>
        <w:t>as a result</w:t>
      </w:r>
      <w:proofErr w:type="gramEnd"/>
      <w:r>
        <w:rPr>
          <w:rFonts w:ascii="Times New Roman" w:hAnsi="Times New Roman"/>
          <w:sz w:val="24"/>
          <w:szCs w:val="24"/>
        </w:rPr>
        <w:t xml:space="preserve"> of the hearing.</w:t>
      </w:r>
      <w:r>
        <w:rPr>
          <w:rFonts w:ascii="Times New Roman" w:hAnsi="Times New Roman"/>
          <w:b/>
          <w:sz w:val="24"/>
          <w:szCs w:val="24"/>
        </w:rPr>
        <w:t xml:space="preserve"> </w:t>
      </w:r>
      <w:r>
        <w:rPr>
          <w:rFonts w:ascii="Times New Roman" w:hAnsi="Times New Roman"/>
          <w:sz w:val="24"/>
          <w:szCs w:val="24"/>
        </w:rPr>
        <w:t xml:space="preserve">It is also stipulated that if the victim is likely to suffer a mental trauma or other serious consequences </w:t>
      </w:r>
      <w:proofErr w:type="gramStart"/>
      <w:r>
        <w:rPr>
          <w:rFonts w:ascii="Times New Roman" w:hAnsi="Times New Roman"/>
          <w:sz w:val="24"/>
          <w:szCs w:val="24"/>
        </w:rPr>
        <w:t>as a result</w:t>
      </w:r>
      <w:proofErr w:type="gramEnd"/>
      <w:r>
        <w:rPr>
          <w:rFonts w:ascii="Times New Roman" w:hAnsi="Times New Roman"/>
          <w:sz w:val="24"/>
          <w:szCs w:val="24"/>
        </w:rPr>
        <w:t xml:space="preserve"> of the hearing (during the proceedings), the hearing of this individual shall be conducted subject to rules for hearing juvenile victims.</w:t>
      </w:r>
      <w:r>
        <w:rPr>
          <w:rFonts w:ascii="Times New Roman" w:hAnsi="Times New Roman"/>
          <w:b/>
          <w:sz w:val="24"/>
          <w:szCs w:val="24"/>
        </w:rPr>
        <w:t xml:space="preserve"> </w:t>
      </w:r>
      <w:r>
        <w:rPr>
          <w:rFonts w:ascii="Times New Roman" w:hAnsi="Times New Roman"/>
          <w:sz w:val="24"/>
          <w:szCs w:val="24"/>
        </w:rPr>
        <w:t>It has been stipulated that questions shall be asked, as in the case of minors, only through the presiding judge at the trial court, and, if necessary, through a representative.</w:t>
      </w:r>
      <w:r>
        <w:rPr>
          <w:rFonts w:ascii="Times New Roman" w:hAnsi="Times New Roman"/>
          <w:b/>
          <w:sz w:val="24"/>
          <w:szCs w:val="24"/>
        </w:rPr>
        <w:t xml:space="preserve"> </w:t>
      </w:r>
    </w:p>
    <w:p w14:paraId="02CD3244" w14:textId="77777777" w:rsidR="00B661B8" w:rsidRPr="00781329" w:rsidRDefault="00B661B8" w:rsidP="00B661B8">
      <w:pPr>
        <w:suppressAutoHyphens/>
        <w:spacing w:before="100" w:beforeAutospacing="1" w:after="100" w:afterAutospacing="1" w:line="240" w:lineRule="auto"/>
        <w:ind w:left="567"/>
        <w:jc w:val="both"/>
        <w:rPr>
          <w:rFonts w:ascii="Times New Roman" w:eastAsia="Times New Roman" w:hAnsi="Times New Roman" w:cs="Times New Roman"/>
          <w:sz w:val="24"/>
          <w:szCs w:val="24"/>
        </w:rPr>
      </w:pPr>
      <w:proofErr w:type="gramStart"/>
      <w:r>
        <w:rPr>
          <w:rFonts w:ascii="Times New Roman" w:hAnsi="Times New Roman"/>
          <w:sz w:val="24"/>
          <w:szCs w:val="24"/>
        </w:rPr>
        <w:t>3.</w:t>
      </w:r>
      <w:r>
        <w:rPr>
          <w:rFonts w:ascii="Times New Roman" w:hAnsi="Times New Roman"/>
          <w:b/>
          <w:sz w:val="24"/>
          <w:szCs w:val="24"/>
        </w:rPr>
        <w:t xml:space="preserve"> </w:t>
      </w:r>
      <w:r>
        <w:rPr>
          <w:rFonts w:ascii="Times New Roman" w:hAnsi="Times New Roman"/>
          <w:sz w:val="24"/>
          <w:szCs w:val="24"/>
        </w:rPr>
        <w:t>On 1 January 2015, CCP amendments came into force regarding the mandatory legal aid in the case of the child victim, providing for a mandatory participation of an authorised representative (a lawyer, or an assistant to the lawyer, or other person holding a legal degree) in the cases dealing with offences against human rights, the freedom of sexual self-determination and integrity, against the child and the family or morality, where a minor is recognized as a victim.</w:t>
      </w:r>
      <w:proofErr w:type="gramEnd"/>
      <w:r>
        <w:rPr>
          <w:rFonts w:ascii="Times New Roman" w:hAnsi="Times New Roman"/>
          <w:b/>
          <w:sz w:val="24"/>
          <w:szCs w:val="24"/>
        </w:rPr>
        <w:t xml:space="preserve"> </w:t>
      </w:r>
      <w:proofErr w:type="gramStart"/>
      <w:r>
        <w:rPr>
          <w:rFonts w:ascii="Times New Roman" w:hAnsi="Times New Roman"/>
          <w:sz w:val="24"/>
          <w:szCs w:val="24"/>
        </w:rPr>
        <w:t>It has also been provided that a pre-trial investigation officer or a prosecutor, through a reasoned decision, or the court, through a reasoned decision, has the right to recognize that the participation of an authorised representative is also necessary in other cases if, in their opinion, the juvenile victim’s rights and legitimate interests are not adequately defended without the authorised representative’s assistance.</w:t>
      </w:r>
      <w:proofErr w:type="gramEnd"/>
      <w:r>
        <w:rPr>
          <w:rFonts w:ascii="Times New Roman" w:hAnsi="Times New Roman"/>
          <w:b/>
          <w:sz w:val="24"/>
          <w:szCs w:val="24"/>
        </w:rPr>
        <w:t xml:space="preserve"> </w:t>
      </w:r>
      <w:proofErr w:type="gramStart"/>
      <w:r>
        <w:rPr>
          <w:rFonts w:ascii="Times New Roman" w:hAnsi="Times New Roman"/>
          <w:sz w:val="24"/>
          <w:szCs w:val="24"/>
        </w:rPr>
        <w:t xml:space="preserve">In these cases, if the authorised representative does not take part at the request of the victim himself or at the request of his legal representative, the pre-trial investigation officer, the prosecutor or the court must notify the authority organising state-guaranteed legal aid or a coordinator named by him about the fact </w:t>
      </w:r>
      <w:r>
        <w:rPr>
          <w:rFonts w:ascii="Times New Roman" w:hAnsi="Times New Roman"/>
          <w:sz w:val="24"/>
          <w:szCs w:val="24"/>
        </w:rPr>
        <w:lastRenderedPageBreak/>
        <w:t>that the victim needs an authorised representative, and to appoint an authorised representative named by this authority.</w:t>
      </w:r>
      <w:proofErr w:type="gramEnd"/>
    </w:p>
    <w:p w14:paraId="150E17FF" w14:textId="77777777" w:rsidR="00B661B8" w:rsidRPr="00781329" w:rsidRDefault="00B661B8" w:rsidP="00B661B8">
      <w:pPr>
        <w:suppressAutoHyphens/>
        <w:spacing w:before="100" w:beforeAutospacing="1" w:after="100" w:afterAutospacing="1" w:line="240" w:lineRule="auto"/>
        <w:ind w:left="567"/>
        <w:jc w:val="both"/>
        <w:rPr>
          <w:rFonts w:ascii="Times New Roman" w:eastAsia="Times New Roman" w:hAnsi="Times New Roman" w:cs="Times New Roman"/>
          <w:sz w:val="24"/>
          <w:szCs w:val="24"/>
        </w:rPr>
      </w:pPr>
      <w:proofErr w:type="gramStart"/>
      <w:r>
        <w:rPr>
          <w:rFonts w:ascii="Times New Roman" w:hAnsi="Times New Roman"/>
          <w:sz w:val="24"/>
          <w:szCs w:val="24"/>
        </w:rPr>
        <w:t>4.</w:t>
      </w:r>
      <w:r>
        <w:rPr>
          <w:rFonts w:ascii="Times New Roman" w:hAnsi="Times New Roman"/>
          <w:b/>
          <w:sz w:val="24"/>
          <w:szCs w:val="24"/>
        </w:rPr>
        <w:t xml:space="preserve"> </w:t>
      </w:r>
      <w:r>
        <w:rPr>
          <w:rFonts w:ascii="Times New Roman" w:hAnsi="Times New Roman"/>
          <w:sz w:val="24"/>
          <w:szCs w:val="24"/>
        </w:rPr>
        <w:t>The CCP amendments of 19 May 2015 have extended the content of non-custodial measures: the content of the obligation to live apart from the victim, as provided for in Article 132</w:t>
      </w:r>
      <w:r>
        <w:rPr>
          <w:rFonts w:ascii="Times New Roman" w:hAnsi="Times New Roman"/>
          <w:sz w:val="24"/>
          <w:szCs w:val="24"/>
          <w:vertAlign w:val="superscript"/>
        </w:rPr>
        <w:t>1</w:t>
      </w:r>
      <w:r>
        <w:rPr>
          <w:rFonts w:ascii="Times New Roman" w:hAnsi="Times New Roman"/>
          <w:sz w:val="24"/>
          <w:szCs w:val="24"/>
        </w:rPr>
        <w:t xml:space="preserve"> of the CCP, i.e. according to this provision, the suspect may be obliged not only to live apart from the victim but also to keep a certain distance away from the victim, it has also been stipulated that the suspect may be obliged to stop communication in any form or seek contacts with the victim or with the persons living with the victim.</w:t>
      </w:r>
      <w:proofErr w:type="gramEnd"/>
    </w:p>
    <w:p w14:paraId="58BB5B71" w14:textId="77777777" w:rsidR="00B661B8" w:rsidRPr="00781329" w:rsidRDefault="00B661B8" w:rsidP="00B661B8">
      <w:pPr>
        <w:suppressAutoHyphens/>
        <w:spacing w:before="100" w:beforeAutospacing="1" w:after="100" w:afterAutospacing="1" w:line="240" w:lineRule="auto"/>
        <w:ind w:left="567"/>
        <w:jc w:val="both"/>
        <w:rPr>
          <w:rFonts w:ascii="Times New Roman" w:eastAsia="Times New Roman" w:hAnsi="Times New Roman" w:cs="Times New Roman"/>
          <w:sz w:val="24"/>
          <w:szCs w:val="24"/>
        </w:rPr>
      </w:pPr>
      <w:proofErr w:type="gramStart"/>
      <w:r>
        <w:rPr>
          <w:rFonts w:ascii="Times New Roman" w:hAnsi="Times New Roman"/>
          <w:sz w:val="24"/>
          <w:szCs w:val="24"/>
        </w:rPr>
        <w:t>5.</w:t>
      </w:r>
      <w:r>
        <w:rPr>
          <w:rFonts w:ascii="Times New Roman" w:hAnsi="Times New Roman"/>
          <w:b/>
          <w:sz w:val="24"/>
          <w:szCs w:val="24"/>
        </w:rPr>
        <w:t xml:space="preserve"> </w:t>
      </w:r>
      <w:r>
        <w:rPr>
          <w:rFonts w:ascii="Times New Roman" w:hAnsi="Times New Roman"/>
          <w:sz w:val="24"/>
          <w:szCs w:val="24"/>
        </w:rPr>
        <w:t xml:space="preserve">On </w:t>
      </w:r>
      <w:r w:rsidR="003237F9">
        <w:rPr>
          <w:rFonts w:ascii="Times New Roman" w:hAnsi="Times New Roman"/>
          <w:sz w:val="24"/>
          <w:szCs w:val="24"/>
        </w:rPr>
        <w:t>6</w:t>
      </w:r>
      <w:r>
        <w:rPr>
          <w:rFonts w:ascii="Times New Roman" w:hAnsi="Times New Roman"/>
          <w:sz w:val="24"/>
          <w:szCs w:val="24"/>
        </w:rPr>
        <w:t xml:space="preserve"> May 2017, CCP amendments came into force introducing a general provision applicable in all cases, which would oblige pre-trial investigation institutions, the prosecutor or the court to determine in a criminal proceeding, without undue delay (that is, within the shortest time possible) whether the participants in the criminal proceedings know the Lithuanian language and whether there is a need to have an interpreter for the respective process participant to understand the ongoing criminal proceedings.</w:t>
      </w:r>
      <w:proofErr w:type="gramEnd"/>
      <w:r>
        <w:rPr>
          <w:rFonts w:ascii="Times New Roman" w:hAnsi="Times New Roman"/>
          <w:b/>
          <w:sz w:val="24"/>
          <w:szCs w:val="24"/>
        </w:rPr>
        <w:t xml:space="preserve"> </w:t>
      </w:r>
      <w:r>
        <w:rPr>
          <w:rFonts w:ascii="Times New Roman" w:hAnsi="Times New Roman"/>
          <w:sz w:val="24"/>
          <w:szCs w:val="24"/>
        </w:rPr>
        <w:t xml:space="preserve">Having found that the participant in the criminal proceedings does not speak the language of the proceedings, he </w:t>
      </w:r>
      <w:proofErr w:type="gramStart"/>
      <w:r>
        <w:rPr>
          <w:rFonts w:ascii="Times New Roman" w:hAnsi="Times New Roman"/>
          <w:sz w:val="24"/>
          <w:szCs w:val="24"/>
        </w:rPr>
        <w:t>must be immediately guaranteed</w:t>
      </w:r>
      <w:proofErr w:type="gramEnd"/>
      <w:r>
        <w:rPr>
          <w:rFonts w:ascii="Times New Roman" w:hAnsi="Times New Roman"/>
          <w:sz w:val="24"/>
          <w:szCs w:val="24"/>
        </w:rPr>
        <w:t xml:space="preserve"> the right to use the services of an interpreter and the right to have a written translation of the case documents in accordance with the procedure established by the CCP.</w:t>
      </w:r>
    </w:p>
    <w:p w14:paraId="26AFEBAC" w14:textId="77777777" w:rsidR="00B661B8" w:rsidRPr="00781329" w:rsidRDefault="00B661B8" w:rsidP="00B661B8">
      <w:pPr>
        <w:suppressAutoHyphens/>
        <w:spacing w:before="100" w:beforeAutospacing="1" w:after="100" w:afterAutospacing="1" w:line="240" w:lineRule="auto"/>
        <w:ind w:left="567"/>
        <w:jc w:val="both"/>
        <w:rPr>
          <w:rFonts w:ascii="Times New Roman" w:eastAsia="Times New Roman" w:hAnsi="Times New Roman" w:cs="Times New Roman"/>
          <w:sz w:val="24"/>
          <w:szCs w:val="24"/>
        </w:rPr>
      </w:pPr>
      <w:r>
        <w:rPr>
          <w:rFonts w:ascii="Times New Roman" w:hAnsi="Times New Roman"/>
          <w:sz w:val="24"/>
          <w:szCs w:val="24"/>
        </w:rPr>
        <w:t>6.</w:t>
      </w:r>
      <w:r>
        <w:rPr>
          <w:rFonts w:ascii="Times New Roman" w:hAnsi="Times New Roman"/>
          <w:b/>
          <w:sz w:val="24"/>
          <w:szCs w:val="24"/>
        </w:rPr>
        <w:t xml:space="preserve"> </w:t>
      </w:r>
      <w:r>
        <w:rPr>
          <w:rFonts w:ascii="Times New Roman" w:hAnsi="Times New Roman"/>
          <w:sz w:val="24"/>
          <w:szCs w:val="24"/>
        </w:rPr>
        <w:t xml:space="preserve">On 14 March 2017, CCP amendments </w:t>
      </w:r>
      <w:proofErr w:type="gramStart"/>
      <w:r>
        <w:rPr>
          <w:rFonts w:ascii="Times New Roman" w:hAnsi="Times New Roman"/>
          <w:sz w:val="24"/>
          <w:szCs w:val="24"/>
        </w:rPr>
        <w:t>were adopted</w:t>
      </w:r>
      <w:proofErr w:type="gramEnd"/>
      <w:r>
        <w:rPr>
          <w:rFonts w:ascii="Times New Roman" w:hAnsi="Times New Roman"/>
          <w:sz w:val="24"/>
          <w:szCs w:val="24"/>
        </w:rPr>
        <w:t xml:space="preserve"> in the field of the protection of minors in criminal proceedings: the mandatory participation of a psychologist and child rights specialist in hearing of juvenile witnesses and victims</w:t>
      </w:r>
      <w:r>
        <w:rPr>
          <w:rFonts w:ascii="Times New Roman" w:hAnsi="Times New Roman"/>
          <w:b/>
          <w:sz w:val="24"/>
          <w:szCs w:val="24"/>
        </w:rPr>
        <w:t>.</w:t>
      </w:r>
      <w:r>
        <w:rPr>
          <w:rFonts w:ascii="Times New Roman" w:hAnsi="Times New Roman"/>
          <w:sz w:val="24"/>
          <w:szCs w:val="24"/>
        </w:rPr>
        <w:t xml:space="preserve"> A clear distinction between the functions of the psychologist and the child rights specialist </w:t>
      </w:r>
      <w:proofErr w:type="gramStart"/>
      <w:r>
        <w:rPr>
          <w:rFonts w:ascii="Times New Roman" w:hAnsi="Times New Roman"/>
          <w:sz w:val="24"/>
          <w:szCs w:val="24"/>
        </w:rPr>
        <w:t>has been ensured</w:t>
      </w:r>
      <w:proofErr w:type="gramEnd"/>
      <w:r>
        <w:rPr>
          <w:rFonts w:ascii="Times New Roman" w:hAnsi="Times New Roman"/>
          <w:sz w:val="24"/>
          <w:szCs w:val="24"/>
        </w:rPr>
        <w:t xml:space="preserve">. It </w:t>
      </w:r>
      <w:proofErr w:type="gramStart"/>
      <w:r>
        <w:rPr>
          <w:rFonts w:ascii="Times New Roman" w:hAnsi="Times New Roman"/>
          <w:sz w:val="24"/>
          <w:szCs w:val="24"/>
        </w:rPr>
        <w:t>has been established</w:t>
      </w:r>
      <w:proofErr w:type="gramEnd"/>
      <w:r>
        <w:rPr>
          <w:rFonts w:ascii="Times New Roman" w:hAnsi="Times New Roman"/>
          <w:sz w:val="24"/>
          <w:szCs w:val="24"/>
        </w:rPr>
        <w:t xml:space="preserve"> that child victims and witnesses shall be interviewed in all cases in premises adapted for child interviews. In order to prevent the possible negative impact on the under-aged victim or witness by the other participants to the proceedings, no one else shall be present apart from the child himself in the child interview room except a psychologist and a representative of a child, after having established that he will not affect the child to </w:t>
      </w:r>
      <w:proofErr w:type="gramStart"/>
      <w:r>
        <w:rPr>
          <w:rFonts w:ascii="Times New Roman" w:hAnsi="Times New Roman"/>
          <w:sz w:val="24"/>
          <w:szCs w:val="24"/>
        </w:rPr>
        <w:t>be interviewed</w:t>
      </w:r>
      <w:proofErr w:type="gramEnd"/>
      <w:r>
        <w:rPr>
          <w:rFonts w:ascii="Times New Roman" w:hAnsi="Times New Roman"/>
          <w:sz w:val="24"/>
          <w:szCs w:val="24"/>
        </w:rPr>
        <w:t>. These amendments will come into force on 01.07.2018.</w:t>
      </w:r>
    </w:p>
    <w:p w14:paraId="45F0F55C" w14:textId="4610A198"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16</w:t>
      </w:r>
      <w:r w:rsidR="00B661B8">
        <w:rPr>
          <w:rFonts w:ascii="Times New Roman" w:hAnsi="Times New Roman"/>
          <w:sz w:val="24"/>
          <w:szCs w:val="24"/>
        </w:rPr>
        <w:t xml:space="preserve">8. On </w:t>
      </w:r>
      <w:r w:rsidR="003237F9">
        <w:rPr>
          <w:rFonts w:ascii="Times New Roman" w:hAnsi="Times New Roman"/>
          <w:sz w:val="24"/>
          <w:szCs w:val="24"/>
        </w:rPr>
        <w:t>1 January</w:t>
      </w:r>
      <w:r w:rsidR="00B661B8">
        <w:rPr>
          <w:rFonts w:ascii="Times New Roman" w:hAnsi="Times New Roman"/>
          <w:sz w:val="24"/>
          <w:szCs w:val="24"/>
        </w:rPr>
        <w:t xml:space="preserve"> 2017, the Code of Administrative Offences of the Republic of Lithuania came into force replacing the previous Code of Administrative Violations of Law of the Republic of Lithuania. In the new Code of Administrative Offences. the aggravating circumstances include cases in which an administrative offence was committed when showing hatred for a person (persons) or discriminating against a person(s) on the grounds of sex, race, nationality, language, origin, social status, belief, convictions, attitudes or other grounds. The Code also lays down the principle of administrative offences proceedings preventing restrictions or exceptions on the grounds of origin, nationality, race, gender, language, religious or political views and other circumstances, which would lead to unequal application of laws.</w:t>
      </w:r>
    </w:p>
    <w:p w14:paraId="48019606" w14:textId="77777777" w:rsidR="00B661B8" w:rsidRPr="00781329" w:rsidRDefault="00B661B8" w:rsidP="00B661B8">
      <w:pPr>
        <w:pStyle w:val="Heading2"/>
        <w:spacing w:before="100" w:beforeAutospacing="1" w:after="100" w:afterAutospacing="1"/>
        <w:jc w:val="both"/>
        <w:rPr>
          <w:rFonts w:cs="Times New Roman"/>
          <w:szCs w:val="24"/>
        </w:rPr>
      </w:pPr>
      <w:bookmarkStart w:id="18" w:name="_Toc500317705"/>
      <w:bookmarkStart w:id="19" w:name="_Toc503943140"/>
      <w:r>
        <w:t>ARTICLE 7</w:t>
      </w:r>
      <w:bookmarkEnd w:id="18"/>
      <w:bookmarkEnd w:id="19"/>
    </w:p>
    <w:p w14:paraId="7FE54894" w14:textId="77777777" w:rsidR="00B661B8" w:rsidRPr="00781329" w:rsidRDefault="00B661B8" w:rsidP="00B661B8">
      <w:pPr>
        <w:suppressAutoHyphens/>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hAnsi="Times New Roman"/>
          <w:i/>
          <w:sz w:val="24"/>
          <w:szCs w:val="24"/>
        </w:rPr>
        <w:t>Public education</w:t>
      </w:r>
    </w:p>
    <w:p w14:paraId="1A1E6542" w14:textId="6F095213"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16</w:t>
      </w:r>
      <w:r w:rsidR="00B661B8">
        <w:rPr>
          <w:rFonts w:ascii="Times New Roman" w:hAnsi="Times New Roman"/>
          <w:sz w:val="24"/>
          <w:szCs w:val="24"/>
        </w:rPr>
        <w:t xml:space="preserve">9. In order to raise public awareness of human rights, in 2014 and 2015, the Ministry of Justice organised legal training courses ‘I know my rights’ in 30 general education schools across Lithuania. In 2015, the Ministry organised a project </w:t>
      </w:r>
      <w:r w:rsidR="003237F9">
        <w:rPr>
          <w:rFonts w:ascii="Times New Roman" w:hAnsi="Times New Roman"/>
          <w:sz w:val="24"/>
          <w:szCs w:val="24"/>
        </w:rPr>
        <w:t>of</w:t>
      </w:r>
      <w:r w:rsidR="00B661B8">
        <w:rPr>
          <w:rFonts w:ascii="Times New Roman" w:hAnsi="Times New Roman"/>
          <w:sz w:val="24"/>
          <w:szCs w:val="24"/>
        </w:rPr>
        <w:t xml:space="preserve"> free legal consultations in 15 cities and towns of Lithuania and an information campaign on legal education in the national press and on television. In 2016, it held an information campaign in the regional press and radio, national radio, the Internet and social </w:t>
      </w:r>
      <w:r w:rsidR="00B661B8">
        <w:rPr>
          <w:rFonts w:ascii="Times New Roman" w:hAnsi="Times New Roman"/>
          <w:sz w:val="24"/>
          <w:szCs w:val="24"/>
        </w:rPr>
        <w:lastRenderedPageBreak/>
        <w:t>networks. The Ministry of Justice also issues information publications, provides information on human rights and freedoms, and has held, for the past 11 years, a Constitution examination, which enables people to refresh their legal knowledge.</w:t>
      </w:r>
      <w:r w:rsidR="001601D9">
        <w:rPr>
          <w:rFonts w:ascii="Times New Roman" w:hAnsi="Times New Roman"/>
          <w:sz w:val="24"/>
          <w:szCs w:val="24"/>
        </w:rPr>
        <w:t xml:space="preserve"> </w:t>
      </w:r>
      <w:r w:rsidR="00B661B8">
        <w:rPr>
          <w:rFonts w:ascii="Times New Roman" w:hAnsi="Times New Roman"/>
          <w:sz w:val="24"/>
          <w:szCs w:val="24"/>
        </w:rPr>
        <w:t xml:space="preserve">The purpose of this exam is to introduce the most important citizen’s rights and obligations enshrined in the Constitution to various groups in Lithuania. The exam </w:t>
      </w:r>
      <w:proofErr w:type="gramStart"/>
      <w:r w:rsidR="00B661B8">
        <w:rPr>
          <w:rFonts w:ascii="Times New Roman" w:hAnsi="Times New Roman"/>
          <w:sz w:val="24"/>
          <w:szCs w:val="24"/>
        </w:rPr>
        <w:t>can be held</w:t>
      </w:r>
      <w:proofErr w:type="gramEnd"/>
      <w:r w:rsidR="00B661B8">
        <w:rPr>
          <w:rFonts w:ascii="Times New Roman" w:hAnsi="Times New Roman"/>
          <w:sz w:val="24"/>
          <w:szCs w:val="24"/>
        </w:rPr>
        <w:t xml:space="preserve"> across all the municipalities of the country, more than 500 general education schools and 11 higher education schools, 10 prisons and the </w:t>
      </w:r>
      <w:proofErr w:type="spellStart"/>
      <w:r w:rsidR="00B661B8">
        <w:rPr>
          <w:rFonts w:ascii="Times New Roman" w:hAnsi="Times New Roman"/>
          <w:sz w:val="24"/>
          <w:szCs w:val="24"/>
        </w:rPr>
        <w:t>Seimas</w:t>
      </w:r>
      <w:proofErr w:type="spellEnd"/>
      <w:r w:rsidR="00B661B8">
        <w:rPr>
          <w:rFonts w:ascii="Times New Roman" w:hAnsi="Times New Roman"/>
          <w:sz w:val="24"/>
          <w:szCs w:val="24"/>
        </w:rPr>
        <w:t xml:space="preserve">. It </w:t>
      </w:r>
      <w:proofErr w:type="gramStart"/>
      <w:r w:rsidR="00B661B8">
        <w:rPr>
          <w:rFonts w:ascii="Times New Roman" w:hAnsi="Times New Roman"/>
          <w:sz w:val="24"/>
          <w:szCs w:val="24"/>
        </w:rPr>
        <w:t>can also be taken</w:t>
      </w:r>
      <w:proofErr w:type="gramEnd"/>
      <w:r w:rsidR="00B661B8">
        <w:rPr>
          <w:rFonts w:ascii="Times New Roman" w:hAnsi="Times New Roman"/>
          <w:sz w:val="24"/>
          <w:szCs w:val="24"/>
        </w:rPr>
        <w:t xml:space="preserve"> on-line. </w:t>
      </w:r>
    </w:p>
    <w:p w14:paraId="1B1F4276" w14:textId="77777777" w:rsidR="00B661B8" w:rsidRPr="00781329" w:rsidRDefault="00B661B8" w:rsidP="00B661B8">
      <w:pPr>
        <w:suppressAutoHyphens/>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hAnsi="Times New Roman"/>
          <w:i/>
          <w:sz w:val="24"/>
          <w:szCs w:val="24"/>
        </w:rPr>
        <w:t>Education of children</w:t>
      </w:r>
    </w:p>
    <w:p w14:paraId="19456629" w14:textId="77777777" w:rsidR="00B661B8" w:rsidRPr="00781329" w:rsidRDefault="00B661B8"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I. Formal education</w:t>
      </w:r>
    </w:p>
    <w:p w14:paraId="166CFCB4" w14:textId="09C91FED"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170</w:t>
      </w:r>
      <w:r w:rsidR="00B661B8">
        <w:rPr>
          <w:rFonts w:ascii="Times New Roman" w:hAnsi="Times New Roman"/>
          <w:sz w:val="24"/>
          <w:szCs w:val="24"/>
        </w:rPr>
        <w:t>. In the field of general education, the common core curricula of primary, basic and secondary education aim to incorporate the UN Convention-related education objectives of the prevention of racial discrimination.</w:t>
      </w:r>
    </w:p>
    <w:p w14:paraId="6E2735A4" w14:textId="2D2785B5"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17</w:t>
      </w:r>
      <w:r w:rsidR="00B661B8">
        <w:rPr>
          <w:rFonts w:ascii="Times New Roman" w:hAnsi="Times New Roman"/>
          <w:sz w:val="24"/>
          <w:szCs w:val="24"/>
        </w:rPr>
        <w:t xml:space="preserve">1. In primary education, the following </w:t>
      </w:r>
      <w:proofErr w:type="gramStart"/>
      <w:r w:rsidR="00B661B8">
        <w:rPr>
          <w:rFonts w:ascii="Times New Roman" w:hAnsi="Times New Roman"/>
          <w:sz w:val="24"/>
          <w:szCs w:val="24"/>
        </w:rPr>
        <w:t>is taught</w:t>
      </w:r>
      <w:proofErr w:type="gramEnd"/>
      <w:r w:rsidR="00B661B8">
        <w:rPr>
          <w:rFonts w:ascii="Times New Roman" w:hAnsi="Times New Roman"/>
          <w:sz w:val="24"/>
          <w:szCs w:val="24"/>
        </w:rPr>
        <w:t xml:space="preserve"> during the classes of environmental science and ethics:</w:t>
      </w:r>
    </w:p>
    <w:p w14:paraId="7141D3E1" w14:textId="77777777" w:rsidR="00B661B8" w:rsidRPr="00781329" w:rsidRDefault="00B661B8" w:rsidP="00B661B8">
      <w:pPr>
        <w:numPr>
          <w:ilvl w:val="0"/>
          <w:numId w:val="12"/>
        </w:numPr>
        <w:suppressAutoHyphens/>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hAnsi="Times New Roman"/>
          <w:sz w:val="24"/>
          <w:szCs w:val="24"/>
        </w:rPr>
        <w:t>Understanding of what is typical of most boys and girls, and what is typical of me alone.</w:t>
      </w:r>
      <w:proofErr w:type="gramEnd"/>
      <w:r>
        <w:rPr>
          <w:rFonts w:ascii="Times New Roman" w:hAnsi="Times New Roman"/>
          <w:sz w:val="24"/>
          <w:szCs w:val="24"/>
        </w:rPr>
        <w:t xml:space="preserve"> Considerations as to what makes us similar and different. Realisation that every boy or girl is unique and loved (grades 1-2). </w:t>
      </w:r>
    </w:p>
    <w:p w14:paraId="056A4FF5" w14:textId="6B76AF9F" w:rsidR="00B661B8" w:rsidRPr="00781329" w:rsidRDefault="00B661B8" w:rsidP="00B661B8">
      <w:pPr>
        <w:numPr>
          <w:ilvl w:val="0"/>
          <w:numId w:val="12"/>
        </w:num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Understanding why </w:t>
      </w:r>
      <w:r w:rsidR="00FB7F96">
        <w:rPr>
          <w:rFonts w:ascii="Times New Roman" w:hAnsi="Times New Roman"/>
          <w:sz w:val="24"/>
          <w:szCs w:val="24"/>
        </w:rPr>
        <w:t>bullying cannot be made due to</w:t>
      </w:r>
      <w:r>
        <w:rPr>
          <w:rFonts w:ascii="Times New Roman" w:hAnsi="Times New Roman"/>
          <w:sz w:val="24"/>
          <w:szCs w:val="24"/>
        </w:rPr>
        <w:t xml:space="preserve"> different appearance, gender, nationality, race or other faith (grades 3-4).</w:t>
      </w:r>
    </w:p>
    <w:p w14:paraId="5A8A2F29" w14:textId="09A9CF47"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17</w:t>
      </w:r>
      <w:r w:rsidR="00B661B8">
        <w:rPr>
          <w:rFonts w:ascii="Times New Roman" w:hAnsi="Times New Roman"/>
          <w:sz w:val="24"/>
          <w:szCs w:val="24"/>
        </w:rPr>
        <w:t>2. In basic education, the course on ethics includes:</w:t>
      </w:r>
    </w:p>
    <w:p w14:paraId="02402AD7" w14:textId="4212DA24" w:rsidR="00B661B8" w:rsidRPr="00781329" w:rsidRDefault="00B661B8" w:rsidP="00B661B8">
      <w:pPr>
        <w:numPr>
          <w:ilvl w:val="0"/>
          <w:numId w:val="12"/>
        </w:num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Mentioning peoples</w:t>
      </w:r>
      <w:r w:rsidR="00E25164">
        <w:rPr>
          <w:rFonts w:ascii="Times New Roman" w:hAnsi="Times New Roman"/>
          <w:sz w:val="24"/>
          <w:szCs w:val="24"/>
        </w:rPr>
        <w:t xml:space="preserve"> and national minorities</w:t>
      </w:r>
      <w:r>
        <w:rPr>
          <w:rFonts w:ascii="Times New Roman" w:hAnsi="Times New Roman"/>
          <w:sz w:val="24"/>
          <w:szCs w:val="24"/>
        </w:rPr>
        <w:t xml:space="preserve"> that peacefully coexist in Lithuania. </w:t>
      </w:r>
      <w:r w:rsidR="00E25164">
        <w:rPr>
          <w:rFonts w:ascii="Times New Roman" w:hAnsi="Times New Roman"/>
          <w:sz w:val="24"/>
          <w:szCs w:val="24"/>
        </w:rPr>
        <w:t>Providing information about settlement of</w:t>
      </w:r>
      <w:r>
        <w:rPr>
          <w:rFonts w:ascii="Times New Roman" w:hAnsi="Times New Roman"/>
          <w:sz w:val="24"/>
          <w:szCs w:val="24"/>
        </w:rPr>
        <w:t xml:space="preserve"> the </w:t>
      </w:r>
      <w:proofErr w:type="spellStart"/>
      <w:r>
        <w:rPr>
          <w:rFonts w:ascii="Times New Roman" w:hAnsi="Times New Roman"/>
          <w:sz w:val="24"/>
          <w:szCs w:val="24"/>
        </w:rPr>
        <w:t>Karai</w:t>
      </w:r>
      <w:r w:rsidR="003237F9">
        <w:rPr>
          <w:rFonts w:ascii="Times New Roman" w:hAnsi="Times New Roman"/>
          <w:sz w:val="24"/>
          <w:szCs w:val="24"/>
        </w:rPr>
        <w:t>ms</w:t>
      </w:r>
      <w:proofErr w:type="spellEnd"/>
      <w:r>
        <w:rPr>
          <w:rFonts w:ascii="Times New Roman" w:hAnsi="Times New Roman"/>
          <w:sz w:val="24"/>
          <w:szCs w:val="24"/>
        </w:rPr>
        <w:t xml:space="preserve">, Tatars, Jews, Roma and other </w:t>
      </w:r>
      <w:r w:rsidR="00E25164">
        <w:rPr>
          <w:rFonts w:ascii="Times New Roman" w:hAnsi="Times New Roman"/>
          <w:sz w:val="24"/>
          <w:szCs w:val="24"/>
        </w:rPr>
        <w:t>national minorities in</w:t>
      </w:r>
      <w:r>
        <w:rPr>
          <w:rFonts w:ascii="Times New Roman" w:hAnsi="Times New Roman"/>
          <w:sz w:val="24"/>
          <w:szCs w:val="24"/>
        </w:rPr>
        <w:t xml:space="preserve"> Lithuania. Explaining the importance of respect and tolerance for all peoples</w:t>
      </w:r>
      <w:r w:rsidR="00E25164">
        <w:rPr>
          <w:rFonts w:ascii="Times New Roman" w:hAnsi="Times New Roman"/>
          <w:sz w:val="24"/>
          <w:szCs w:val="24"/>
        </w:rPr>
        <w:t>, nationalities</w:t>
      </w:r>
      <w:r>
        <w:rPr>
          <w:rFonts w:ascii="Times New Roman" w:hAnsi="Times New Roman"/>
          <w:sz w:val="24"/>
          <w:szCs w:val="24"/>
        </w:rPr>
        <w:t xml:space="preserve"> and races. (grades 5-6) </w:t>
      </w:r>
    </w:p>
    <w:p w14:paraId="72B81FA4" w14:textId="77777777" w:rsidR="00B661B8" w:rsidRPr="00781329" w:rsidRDefault="00B661B8" w:rsidP="00B661B8">
      <w:pPr>
        <w:numPr>
          <w:ilvl w:val="0"/>
          <w:numId w:val="12"/>
        </w:num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Recognising cases of violation of personal rights. Knowledge of basic human rights and responsibilities. Telling the story of the emergence of the Declaration of Human Rights. Explaining stereotype thinking and ways to prevent it (grades 7-8) </w:t>
      </w:r>
    </w:p>
    <w:p w14:paraId="1CA2D6DC" w14:textId="77777777" w:rsidR="00B661B8" w:rsidRPr="00781329" w:rsidRDefault="00B661B8" w:rsidP="00B661B8">
      <w:pPr>
        <w:numPr>
          <w:ilvl w:val="0"/>
          <w:numId w:val="12"/>
        </w:num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Recognising the importance of promoting equal opportunities and rights. Identifying and critically judging on cases of discrimination on the grounds of sex, age, ethnicity or race. Explaining the concepts of equal opportunities and discrimination. Mentioning documents and institutions that protect the rights and promote equal opportunities. Critical approach to violence as a way to address problems. Reflecting on reasons for discord and hate, and anticipating possible consequences. (grades 9-10)</w:t>
      </w:r>
    </w:p>
    <w:p w14:paraId="2E197F47" w14:textId="77777777" w:rsidR="00B661B8" w:rsidRPr="00781329" w:rsidRDefault="00B661B8" w:rsidP="00B661B8">
      <w:pPr>
        <w:numPr>
          <w:ilvl w:val="0"/>
          <w:numId w:val="12"/>
        </w:num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Reporting harmful information on the Internet (of pornographic, paedophilic nature and inciting racial and national strife, violence or bullying). Following the rules of the safer internet. (grades 9-10)</w:t>
      </w:r>
    </w:p>
    <w:p w14:paraId="233499F7" w14:textId="1994DE52"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17</w:t>
      </w:r>
      <w:r w:rsidR="00B661B8">
        <w:rPr>
          <w:rFonts w:ascii="Times New Roman" w:hAnsi="Times New Roman"/>
          <w:sz w:val="24"/>
          <w:szCs w:val="24"/>
        </w:rPr>
        <w:t>3. In secondary education, the course on ethics includes:</w:t>
      </w:r>
    </w:p>
    <w:p w14:paraId="34036409" w14:textId="77777777" w:rsidR="00B661B8" w:rsidRPr="00781329" w:rsidRDefault="00B661B8" w:rsidP="00B661B8">
      <w:pPr>
        <w:numPr>
          <w:ilvl w:val="0"/>
          <w:numId w:val="12"/>
        </w:num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Teaching tolerance to social, gender, cultural, religious, etc. differences</w:t>
      </w:r>
      <w:proofErr w:type="gramStart"/>
      <w:r>
        <w:rPr>
          <w:rFonts w:ascii="Times New Roman" w:hAnsi="Times New Roman"/>
          <w:sz w:val="24"/>
          <w:szCs w:val="24"/>
        </w:rPr>
        <w:t>;</w:t>
      </w:r>
      <w:proofErr w:type="gramEnd"/>
      <w:r>
        <w:rPr>
          <w:rFonts w:ascii="Times New Roman" w:hAnsi="Times New Roman"/>
          <w:sz w:val="24"/>
          <w:szCs w:val="24"/>
        </w:rPr>
        <w:t xml:space="preserve"> developing critical and reasonable thinking: well-argued reasoning about social relations, norms, rules and stereotypes (grades 11-12). </w:t>
      </w:r>
    </w:p>
    <w:p w14:paraId="012175CE" w14:textId="0C46E58F"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17</w:t>
      </w:r>
      <w:r w:rsidR="00B661B8">
        <w:rPr>
          <w:rFonts w:ascii="Times New Roman" w:hAnsi="Times New Roman"/>
          <w:sz w:val="24"/>
          <w:szCs w:val="24"/>
        </w:rPr>
        <w:t>4. The criteria for the evaluation of the content of textbooks, developed by the Education Development Centre contain an evaluation area “The appropriateness of the material for the development of value-based attitudes”. These criteria help to ensure a non-discriminatory attitude towards different races in textbooks and teaching aids.</w:t>
      </w:r>
    </w:p>
    <w:p w14:paraId="7BB10CB7" w14:textId="77777777" w:rsidR="00B661B8" w:rsidRPr="00781329" w:rsidRDefault="00B661B8"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II. Non-formal education activities</w:t>
      </w:r>
    </w:p>
    <w:p w14:paraId="5241C11E" w14:textId="5BD4238F"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hAnsi="Times New Roman"/>
          <w:bCs/>
          <w:sz w:val="24"/>
          <w:szCs w:val="24"/>
        </w:rPr>
        <w:t>175</w:t>
      </w:r>
      <w:r w:rsidR="00B661B8">
        <w:rPr>
          <w:rFonts w:ascii="Times New Roman" w:hAnsi="Times New Roman"/>
          <w:bCs/>
          <w:sz w:val="24"/>
          <w:szCs w:val="24"/>
        </w:rPr>
        <w:t xml:space="preserve">. In 2003, Lithuania started building the network of Centres for Citizenship and Tolerance (currently about 130), with the majority of them operating in schools of general education, educational centres, museums and Mykolas </w:t>
      </w:r>
      <w:proofErr w:type="spellStart"/>
      <w:r w:rsidR="00B661B8">
        <w:rPr>
          <w:rFonts w:ascii="Times New Roman" w:hAnsi="Times New Roman"/>
          <w:bCs/>
          <w:sz w:val="24"/>
          <w:szCs w:val="24"/>
        </w:rPr>
        <w:t>Romeris</w:t>
      </w:r>
      <w:proofErr w:type="spellEnd"/>
      <w:r w:rsidR="00B661B8">
        <w:rPr>
          <w:rFonts w:ascii="Times New Roman" w:hAnsi="Times New Roman"/>
          <w:bCs/>
          <w:sz w:val="24"/>
          <w:szCs w:val="24"/>
        </w:rPr>
        <w:t xml:space="preserve"> and </w:t>
      </w:r>
      <w:proofErr w:type="spellStart"/>
      <w:r w:rsidR="00B661B8">
        <w:rPr>
          <w:rFonts w:ascii="Times New Roman" w:hAnsi="Times New Roman"/>
          <w:bCs/>
          <w:sz w:val="24"/>
          <w:szCs w:val="24"/>
        </w:rPr>
        <w:t>Klaipėda</w:t>
      </w:r>
      <w:proofErr w:type="spellEnd"/>
      <w:r w:rsidR="00B661B8">
        <w:rPr>
          <w:rFonts w:ascii="Times New Roman" w:hAnsi="Times New Roman"/>
          <w:bCs/>
          <w:sz w:val="24"/>
          <w:szCs w:val="24"/>
        </w:rPr>
        <w:t xml:space="preserve"> universities. </w:t>
      </w:r>
      <w:r w:rsidR="00B661B8">
        <w:rPr>
          <w:rFonts w:ascii="Times New Roman" w:hAnsi="Times New Roman"/>
          <w:sz w:val="24"/>
          <w:szCs w:val="24"/>
        </w:rPr>
        <w:t>The Centres for Citizenship and Tolerance provide education on totalitarian regime crimes, prevention of crimes against humanity and promotion of tolerance.</w:t>
      </w:r>
    </w:p>
    <w:p w14:paraId="3F9A6BD9" w14:textId="77777777" w:rsidR="00B661B8" w:rsidRPr="00781329" w:rsidRDefault="00B661B8"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III. Events, projects</w:t>
      </w:r>
    </w:p>
    <w:p w14:paraId="22283668" w14:textId="69A53319"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176</w:t>
      </w:r>
      <w:r w:rsidR="00B661B8">
        <w:rPr>
          <w:rFonts w:ascii="Times New Roman" w:hAnsi="Times New Roman"/>
          <w:sz w:val="24"/>
          <w:szCs w:val="24"/>
        </w:rPr>
        <w:t xml:space="preserve">. An educational project Culture Circle, launched in 2016, offers a number of activities aimed at promoting the multicultural Lithuanian heritage, mutual understanding between peoples and ethnic groups, national self-awareness and fostering tolerance. </w:t>
      </w:r>
    </w:p>
    <w:p w14:paraId="7BBBEDB3" w14:textId="218D47B6" w:rsidR="00B661B8" w:rsidRPr="00781329" w:rsidRDefault="00A342B5" w:rsidP="00B661B8">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177</w:t>
      </w:r>
      <w:r w:rsidR="00B661B8">
        <w:rPr>
          <w:rFonts w:ascii="Times New Roman" w:hAnsi="Times New Roman"/>
          <w:sz w:val="24"/>
          <w:szCs w:val="24"/>
        </w:rPr>
        <w:t xml:space="preserve">. In April-May 2017, a </w:t>
      </w:r>
      <w:r w:rsidR="006A2B18">
        <w:rPr>
          <w:rFonts w:ascii="Times New Roman" w:hAnsi="Times New Roman"/>
          <w:sz w:val="24"/>
          <w:szCs w:val="24"/>
        </w:rPr>
        <w:t>national quiz</w:t>
      </w:r>
      <w:r w:rsidR="00B661B8">
        <w:rPr>
          <w:rFonts w:ascii="Times New Roman" w:hAnsi="Times New Roman"/>
          <w:sz w:val="24"/>
          <w:szCs w:val="24"/>
        </w:rPr>
        <w:t xml:space="preserve"> </w:t>
      </w:r>
      <w:proofErr w:type="gramStart"/>
      <w:r w:rsidR="00B661B8">
        <w:rPr>
          <w:rFonts w:ascii="Times New Roman" w:hAnsi="Times New Roman"/>
          <w:sz w:val="24"/>
          <w:szCs w:val="24"/>
        </w:rPr>
        <w:t>was held</w:t>
      </w:r>
      <w:proofErr w:type="gramEnd"/>
      <w:r w:rsidR="00B661B8">
        <w:rPr>
          <w:rFonts w:ascii="Times New Roman" w:hAnsi="Times New Roman"/>
          <w:sz w:val="24"/>
          <w:szCs w:val="24"/>
        </w:rPr>
        <w:t xml:space="preserve"> in Lithuanian educational institutions: “Youth Education about the United Nations Goals for Sustainable Development”, aimed at young people aged 10-14 and 15-19. </w:t>
      </w:r>
      <w:proofErr w:type="gramStart"/>
      <w:r w:rsidR="00B661B8">
        <w:rPr>
          <w:rFonts w:ascii="Times New Roman" w:hAnsi="Times New Roman"/>
          <w:sz w:val="24"/>
          <w:szCs w:val="24"/>
        </w:rPr>
        <w:t>45</w:t>
      </w:r>
      <w:proofErr w:type="gramEnd"/>
      <w:r w:rsidR="00B661B8">
        <w:rPr>
          <w:rFonts w:ascii="Times New Roman" w:hAnsi="Times New Roman"/>
          <w:sz w:val="24"/>
          <w:szCs w:val="24"/>
        </w:rPr>
        <w:t xml:space="preserve"> schools were involved in the activities with the participation of 1600 pupils, and 34 teams in the final event. The events of the Global Education Week held in Lithuania on 18-26 November 2017 under the theme “My world depends on us” promoted the citizen-of-the world perception among the pupils, willing to build a fairer and more harmonious future, and conscious of inter-cultural diversity.</w:t>
      </w:r>
    </w:p>
    <w:p w14:paraId="739AD586" w14:textId="77777777" w:rsidR="00B661B8" w:rsidRPr="00781329" w:rsidRDefault="00B661B8" w:rsidP="00B661B8">
      <w:pPr>
        <w:suppressAutoHyphens/>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hAnsi="Times New Roman"/>
          <w:sz w:val="24"/>
          <w:szCs w:val="24"/>
        </w:rPr>
        <w:t xml:space="preserve">IV. </w:t>
      </w:r>
      <w:r>
        <w:rPr>
          <w:rFonts w:ascii="Times New Roman" w:hAnsi="Times New Roman"/>
          <w:bCs/>
          <w:sz w:val="24"/>
          <w:szCs w:val="24"/>
        </w:rPr>
        <w:t>Activities aimed at raising teachers’ competence</w:t>
      </w:r>
    </w:p>
    <w:p w14:paraId="3EE117B4" w14:textId="0D0DB9F9" w:rsidR="0007548F" w:rsidRPr="00F0641D" w:rsidRDefault="00A342B5" w:rsidP="00F0641D">
      <w:pPr>
        <w:suppressAutoHyphen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bCs/>
          <w:sz w:val="24"/>
          <w:szCs w:val="24"/>
        </w:rPr>
        <w:t>178</w:t>
      </w:r>
      <w:r w:rsidR="00B661B8">
        <w:rPr>
          <w:rFonts w:ascii="Times New Roman" w:hAnsi="Times New Roman"/>
          <w:bCs/>
          <w:sz w:val="24"/>
          <w:szCs w:val="24"/>
        </w:rPr>
        <w:t>. In the autumn of 2017, a round table discussion (in</w:t>
      </w:r>
      <w:r w:rsidR="002F470A">
        <w:rPr>
          <w:rFonts w:ascii="Times New Roman" w:hAnsi="Times New Roman"/>
          <w:bCs/>
          <w:sz w:val="24"/>
          <w:szCs w:val="24"/>
        </w:rPr>
        <w:t xml:space="preserve"> the cities of</w:t>
      </w:r>
      <w:r w:rsidR="00B661B8">
        <w:rPr>
          <w:rFonts w:ascii="Times New Roman" w:hAnsi="Times New Roman"/>
          <w:bCs/>
          <w:sz w:val="24"/>
          <w:szCs w:val="24"/>
        </w:rPr>
        <w:t xml:space="preserve"> </w:t>
      </w:r>
      <w:proofErr w:type="spellStart"/>
      <w:r w:rsidR="00B661B8">
        <w:rPr>
          <w:rFonts w:ascii="Times New Roman" w:hAnsi="Times New Roman"/>
          <w:bCs/>
          <w:sz w:val="24"/>
          <w:szCs w:val="24"/>
        </w:rPr>
        <w:t>Klaipėda</w:t>
      </w:r>
      <w:proofErr w:type="spellEnd"/>
      <w:r w:rsidR="00B661B8">
        <w:rPr>
          <w:rFonts w:ascii="Times New Roman" w:hAnsi="Times New Roman"/>
          <w:bCs/>
          <w:sz w:val="24"/>
          <w:szCs w:val="24"/>
        </w:rPr>
        <w:t xml:space="preserve">, Kaunas and Vilnius) was organised for the integration of migrant children. </w:t>
      </w:r>
      <w:r w:rsidR="00B661B8">
        <w:rPr>
          <w:rFonts w:ascii="Times New Roman" w:hAnsi="Times New Roman"/>
          <w:sz w:val="24"/>
          <w:szCs w:val="24"/>
        </w:rPr>
        <w:t>The discussion involved challenges of inter-cultural communication and cooperation, including the involvement in the educational process of representatives of different national minorities and ethnic groups (children and their parents), and the eradication of the stereotypes.</w:t>
      </w:r>
      <w:r w:rsidR="00B661B8">
        <w:rPr>
          <w:rFonts w:ascii="Times New Roman" w:hAnsi="Times New Roman"/>
          <w:bCs/>
          <w:sz w:val="24"/>
          <w:szCs w:val="24"/>
        </w:rPr>
        <w:t xml:space="preserve"> </w:t>
      </w:r>
      <w:r w:rsidR="00B661B8">
        <w:rPr>
          <w:rFonts w:ascii="Times New Roman" w:hAnsi="Times New Roman"/>
          <w:sz w:val="24"/>
          <w:szCs w:val="24"/>
        </w:rPr>
        <w:t xml:space="preserve">Schools participating in the Erasmus+ project </w:t>
      </w:r>
      <w:r w:rsidR="00B661B8">
        <w:rPr>
          <w:rFonts w:ascii="Times New Roman" w:hAnsi="Times New Roman"/>
          <w:i/>
          <w:sz w:val="24"/>
          <w:szCs w:val="24"/>
        </w:rPr>
        <w:t>I have rights</w:t>
      </w:r>
      <w:r w:rsidR="00B661B8">
        <w:rPr>
          <w:rFonts w:ascii="Times New Roman" w:hAnsi="Times New Roman"/>
          <w:sz w:val="24"/>
          <w:szCs w:val="24"/>
        </w:rPr>
        <w:t xml:space="preserve">, shared their experience as to how teachers could gain inter-cultural competence based on knowledge of human rights and non-discriminatory values. To this end also, an international conference </w:t>
      </w:r>
      <w:proofErr w:type="gramStart"/>
      <w:r w:rsidR="00B661B8">
        <w:rPr>
          <w:rFonts w:ascii="Times New Roman" w:hAnsi="Times New Roman"/>
          <w:sz w:val="24"/>
          <w:szCs w:val="24"/>
        </w:rPr>
        <w:t>was held</w:t>
      </w:r>
      <w:proofErr w:type="gramEnd"/>
      <w:r w:rsidR="00B661B8">
        <w:rPr>
          <w:rFonts w:ascii="Times New Roman" w:hAnsi="Times New Roman"/>
          <w:sz w:val="24"/>
          <w:szCs w:val="24"/>
        </w:rPr>
        <w:t xml:space="preserve"> on the teaching (learning) of the mother tongue of national minorities for the purpose of an inter-cultural dialogue: content, experience, directions for improvement and a seminar Inter-cultural Learning and Social Inclusion.</w:t>
      </w:r>
      <w:r w:rsidR="00B661B8">
        <w:rPr>
          <w:rFonts w:ascii="Times New Roman" w:hAnsi="Times New Roman"/>
          <w:i/>
          <w:sz w:val="24"/>
          <w:szCs w:val="24"/>
        </w:rPr>
        <w:t xml:space="preserve"> </w:t>
      </w:r>
      <w:r w:rsidR="00B661B8">
        <w:rPr>
          <w:rFonts w:ascii="Times New Roman" w:hAnsi="Times New Roman"/>
          <w:sz w:val="24"/>
          <w:szCs w:val="24"/>
        </w:rPr>
        <w:t xml:space="preserve">Overall, </w:t>
      </w:r>
      <w:r w:rsidR="002F470A">
        <w:rPr>
          <w:rFonts w:ascii="Times New Roman" w:hAnsi="Times New Roman"/>
          <w:sz w:val="24"/>
          <w:szCs w:val="24"/>
        </w:rPr>
        <w:t>almost</w:t>
      </w:r>
      <w:r w:rsidR="00B661B8">
        <w:rPr>
          <w:rFonts w:ascii="Times New Roman" w:hAnsi="Times New Roman"/>
          <w:sz w:val="24"/>
          <w:szCs w:val="24"/>
        </w:rPr>
        <w:t xml:space="preserve"> 200 teachers </w:t>
      </w:r>
      <w:r w:rsidR="002F470A">
        <w:rPr>
          <w:rFonts w:ascii="Times New Roman" w:hAnsi="Times New Roman"/>
          <w:sz w:val="24"/>
          <w:szCs w:val="24"/>
        </w:rPr>
        <w:t>took part</w:t>
      </w:r>
      <w:r w:rsidR="00B661B8">
        <w:rPr>
          <w:rFonts w:ascii="Times New Roman" w:hAnsi="Times New Roman"/>
          <w:sz w:val="24"/>
          <w:szCs w:val="24"/>
        </w:rPr>
        <w:t xml:space="preserve"> in the events.</w:t>
      </w:r>
    </w:p>
    <w:sectPr w:rsidR="0007548F" w:rsidRPr="00F064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A60"/>
    <w:multiLevelType w:val="hybridMultilevel"/>
    <w:tmpl w:val="C818D6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2F5239B"/>
    <w:multiLevelType w:val="hybridMultilevel"/>
    <w:tmpl w:val="36C45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F256E0"/>
    <w:multiLevelType w:val="hybridMultilevel"/>
    <w:tmpl w:val="20E2C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447DA5"/>
    <w:multiLevelType w:val="hybridMultilevel"/>
    <w:tmpl w:val="A0045F96"/>
    <w:lvl w:ilvl="0" w:tplc="7A023E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4B2C8C"/>
    <w:multiLevelType w:val="hybridMultilevel"/>
    <w:tmpl w:val="A872C288"/>
    <w:lvl w:ilvl="0" w:tplc="F05EEDE4">
      <w:start w:val="1"/>
      <w:numFmt w:val="decimal"/>
      <w:lvlText w:val="%1."/>
      <w:lvlJc w:val="left"/>
      <w:pPr>
        <w:tabs>
          <w:tab w:val="num" w:pos="1800"/>
        </w:tabs>
        <w:ind w:left="1800" w:hanging="360"/>
      </w:pPr>
      <w:rPr>
        <w:rFonts w:ascii="Times New Roman" w:eastAsiaTheme="minorHAnsi" w:hAnsi="Times New Roman" w:cs="Times New Roman"/>
        <w:b w:val="0"/>
      </w:rPr>
    </w:lvl>
    <w:lvl w:ilvl="1" w:tplc="1D2464EE">
      <w:start w:val="7"/>
      <w:numFmt w:val="decimal"/>
      <w:lvlText w:val="%2"/>
      <w:lvlJc w:val="left"/>
      <w:pPr>
        <w:tabs>
          <w:tab w:val="num" w:pos="2149"/>
        </w:tabs>
        <w:ind w:left="2149" w:hanging="360"/>
      </w:pPr>
      <w:rPr>
        <w:rFonts w:hint="default"/>
        <w:b w:val="0"/>
      </w:r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5" w15:restartNumberingAfterBreak="0">
    <w:nsid w:val="41B75994"/>
    <w:multiLevelType w:val="hybridMultilevel"/>
    <w:tmpl w:val="B02C2F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6614D31"/>
    <w:multiLevelType w:val="hybridMultilevel"/>
    <w:tmpl w:val="9C760AEA"/>
    <w:lvl w:ilvl="0" w:tplc="8E62CC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8F1967"/>
    <w:multiLevelType w:val="hybridMultilevel"/>
    <w:tmpl w:val="BF1292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6DF71AD"/>
    <w:multiLevelType w:val="hybridMultilevel"/>
    <w:tmpl w:val="8392EBCC"/>
    <w:lvl w:ilvl="0" w:tplc="9058E5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6737A9"/>
    <w:multiLevelType w:val="hybridMultilevel"/>
    <w:tmpl w:val="38B84F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C125642"/>
    <w:multiLevelType w:val="hybridMultilevel"/>
    <w:tmpl w:val="56CE7EAE"/>
    <w:lvl w:ilvl="0" w:tplc="FC0041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4124E0"/>
    <w:multiLevelType w:val="hybridMultilevel"/>
    <w:tmpl w:val="CAF47632"/>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6"/>
  </w:num>
  <w:num w:numId="4">
    <w:abstractNumId w:val="3"/>
  </w:num>
  <w:num w:numId="5">
    <w:abstractNumId w:val="2"/>
  </w:num>
  <w:num w:numId="6">
    <w:abstractNumId w:val="5"/>
  </w:num>
  <w:num w:numId="7">
    <w:abstractNumId w:val="1"/>
  </w:num>
  <w:num w:numId="8">
    <w:abstractNumId w:val="0"/>
  </w:num>
  <w:num w:numId="9">
    <w:abstractNumId w:val="11"/>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AE"/>
    <w:rsid w:val="000068BA"/>
    <w:rsid w:val="000075A0"/>
    <w:rsid w:val="000127E5"/>
    <w:rsid w:val="00013A58"/>
    <w:rsid w:val="00015FEA"/>
    <w:rsid w:val="00020007"/>
    <w:rsid w:val="00031A35"/>
    <w:rsid w:val="0003506F"/>
    <w:rsid w:val="000378AD"/>
    <w:rsid w:val="00041FBC"/>
    <w:rsid w:val="00055707"/>
    <w:rsid w:val="00061B0D"/>
    <w:rsid w:val="00064C74"/>
    <w:rsid w:val="000661D3"/>
    <w:rsid w:val="0007342C"/>
    <w:rsid w:val="0007548F"/>
    <w:rsid w:val="00076D91"/>
    <w:rsid w:val="00076E3D"/>
    <w:rsid w:val="00076EFC"/>
    <w:rsid w:val="00077303"/>
    <w:rsid w:val="00077F56"/>
    <w:rsid w:val="00082066"/>
    <w:rsid w:val="00082068"/>
    <w:rsid w:val="00085E69"/>
    <w:rsid w:val="00086B62"/>
    <w:rsid w:val="00091FDF"/>
    <w:rsid w:val="000937B4"/>
    <w:rsid w:val="0009588E"/>
    <w:rsid w:val="000A3A86"/>
    <w:rsid w:val="000A4125"/>
    <w:rsid w:val="000B0FE1"/>
    <w:rsid w:val="000B14D5"/>
    <w:rsid w:val="000B15F8"/>
    <w:rsid w:val="000B3419"/>
    <w:rsid w:val="000B3902"/>
    <w:rsid w:val="000B4864"/>
    <w:rsid w:val="000C0D18"/>
    <w:rsid w:val="000C0FB9"/>
    <w:rsid w:val="000C1C86"/>
    <w:rsid w:val="000C451D"/>
    <w:rsid w:val="000C7357"/>
    <w:rsid w:val="000D6F12"/>
    <w:rsid w:val="000D793E"/>
    <w:rsid w:val="000E4428"/>
    <w:rsid w:val="000F0D94"/>
    <w:rsid w:val="000F2E74"/>
    <w:rsid w:val="000F473D"/>
    <w:rsid w:val="000F71F4"/>
    <w:rsid w:val="00105181"/>
    <w:rsid w:val="00107C19"/>
    <w:rsid w:val="00111793"/>
    <w:rsid w:val="00111B4A"/>
    <w:rsid w:val="0011261B"/>
    <w:rsid w:val="00113C15"/>
    <w:rsid w:val="001207F8"/>
    <w:rsid w:val="001220FA"/>
    <w:rsid w:val="00122719"/>
    <w:rsid w:val="0012498D"/>
    <w:rsid w:val="00124F00"/>
    <w:rsid w:val="00127771"/>
    <w:rsid w:val="00132B44"/>
    <w:rsid w:val="00134BE6"/>
    <w:rsid w:val="00136CC9"/>
    <w:rsid w:val="00137636"/>
    <w:rsid w:val="00141089"/>
    <w:rsid w:val="00141F0C"/>
    <w:rsid w:val="001430A6"/>
    <w:rsid w:val="001473F3"/>
    <w:rsid w:val="00147E21"/>
    <w:rsid w:val="0015087E"/>
    <w:rsid w:val="001515BD"/>
    <w:rsid w:val="001601D9"/>
    <w:rsid w:val="00161204"/>
    <w:rsid w:val="001626CC"/>
    <w:rsid w:val="00163A34"/>
    <w:rsid w:val="001659E2"/>
    <w:rsid w:val="001710C7"/>
    <w:rsid w:val="0017525E"/>
    <w:rsid w:val="00176515"/>
    <w:rsid w:val="00176A6B"/>
    <w:rsid w:val="00177A81"/>
    <w:rsid w:val="00177ACA"/>
    <w:rsid w:val="0018409B"/>
    <w:rsid w:val="00186727"/>
    <w:rsid w:val="0018683B"/>
    <w:rsid w:val="001933E8"/>
    <w:rsid w:val="00193CB2"/>
    <w:rsid w:val="00194157"/>
    <w:rsid w:val="00195DF7"/>
    <w:rsid w:val="00196C1E"/>
    <w:rsid w:val="00197188"/>
    <w:rsid w:val="001A0421"/>
    <w:rsid w:val="001A2B7B"/>
    <w:rsid w:val="001A390D"/>
    <w:rsid w:val="001A3C19"/>
    <w:rsid w:val="001A4981"/>
    <w:rsid w:val="001A7FED"/>
    <w:rsid w:val="001B1B3C"/>
    <w:rsid w:val="001B3F48"/>
    <w:rsid w:val="001C2D70"/>
    <w:rsid w:val="001C3D5D"/>
    <w:rsid w:val="001C583B"/>
    <w:rsid w:val="001D3248"/>
    <w:rsid w:val="001D6FA6"/>
    <w:rsid w:val="001E5427"/>
    <w:rsid w:val="001E757A"/>
    <w:rsid w:val="001F0921"/>
    <w:rsid w:val="001F1495"/>
    <w:rsid w:val="001F6E73"/>
    <w:rsid w:val="001F782E"/>
    <w:rsid w:val="002011F0"/>
    <w:rsid w:val="002017FE"/>
    <w:rsid w:val="0020239A"/>
    <w:rsid w:val="002051B9"/>
    <w:rsid w:val="00207496"/>
    <w:rsid w:val="00207A6E"/>
    <w:rsid w:val="002117AF"/>
    <w:rsid w:val="00212C96"/>
    <w:rsid w:val="002132B8"/>
    <w:rsid w:val="0021351C"/>
    <w:rsid w:val="002137FF"/>
    <w:rsid w:val="00215998"/>
    <w:rsid w:val="00217E13"/>
    <w:rsid w:val="00225162"/>
    <w:rsid w:val="002262F6"/>
    <w:rsid w:val="00226A34"/>
    <w:rsid w:val="0023365B"/>
    <w:rsid w:val="00235390"/>
    <w:rsid w:val="00235F17"/>
    <w:rsid w:val="002367C0"/>
    <w:rsid w:val="0024602C"/>
    <w:rsid w:val="00247B9F"/>
    <w:rsid w:val="00247C94"/>
    <w:rsid w:val="0025696A"/>
    <w:rsid w:val="0026347B"/>
    <w:rsid w:val="00263E37"/>
    <w:rsid w:val="0026486E"/>
    <w:rsid w:val="00266410"/>
    <w:rsid w:val="00267EF4"/>
    <w:rsid w:val="0027389E"/>
    <w:rsid w:val="00275970"/>
    <w:rsid w:val="00276E65"/>
    <w:rsid w:val="00281141"/>
    <w:rsid w:val="00281D51"/>
    <w:rsid w:val="00282310"/>
    <w:rsid w:val="00282A27"/>
    <w:rsid w:val="00283AA3"/>
    <w:rsid w:val="00295536"/>
    <w:rsid w:val="002A7039"/>
    <w:rsid w:val="002B0C77"/>
    <w:rsid w:val="002B1C31"/>
    <w:rsid w:val="002B424A"/>
    <w:rsid w:val="002B7570"/>
    <w:rsid w:val="002C2723"/>
    <w:rsid w:val="002C78C1"/>
    <w:rsid w:val="002D0740"/>
    <w:rsid w:val="002D16FB"/>
    <w:rsid w:val="002D505B"/>
    <w:rsid w:val="002D608C"/>
    <w:rsid w:val="002D7203"/>
    <w:rsid w:val="002E190D"/>
    <w:rsid w:val="002E1C96"/>
    <w:rsid w:val="002E1D2D"/>
    <w:rsid w:val="002E5949"/>
    <w:rsid w:val="002E5ACA"/>
    <w:rsid w:val="002E7834"/>
    <w:rsid w:val="002F470A"/>
    <w:rsid w:val="002F512C"/>
    <w:rsid w:val="002F755B"/>
    <w:rsid w:val="00301922"/>
    <w:rsid w:val="00310152"/>
    <w:rsid w:val="003112A6"/>
    <w:rsid w:val="00311400"/>
    <w:rsid w:val="00313F18"/>
    <w:rsid w:val="003225F5"/>
    <w:rsid w:val="003237F9"/>
    <w:rsid w:val="00325266"/>
    <w:rsid w:val="00332125"/>
    <w:rsid w:val="00333CD4"/>
    <w:rsid w:val="0033784B"/>
    <w:rsid w:val="00337B09"/>
    <w:rsid w:val="003460AF"/>
    <w:rsid w:val="003556B1"/>
    <w:rsid w:val="0035775C"/>
    <w:rsid w:val="003613AD"/>
    <w:rsid w:val="00362447"/>
    <w:rsid w:val="00374567"/>
    <w:rsid w:val="00376F63"/>
    <w:rsid w:val="003833F5"/>
    <w:rsid w:val="00383CF3"/>
    <w:rsid w:val="0038541E"/>
    <w:rsid w:val="003857DF"/>
    <w:rsid w:val="003920CA"/>
    <w:rsid w:val="00392DA0"/>
    <w:rsid w:val="003A1906"/>
    <w:rsid w:val="003B0936"/>
    <w:rsid w:val="003B64E8"/>
    <w:rsid w:val="003B6684"/>
    <w:rsid w:val="003C0D86"/>
    <w:rsid w:val="003C555D"/>
    <w:rsid w:val="003D604C"/>
    <w:rsid w:val="003E1C4F"/>
    <w:rsid w:val="003E3AC5"/>
    <w:rsid w:val="004024CC"/>
    <w:rsid w:val="00410C50"/>
    <w:rsid w:val="00411E8C"/>
    <w:rsid w:val="004149BC"/>
    <w:rsid w:val="00421493"/>
    <w:rsid w:val="00421908"/>
    <w:rsid w:val="00422419"/>
    <w:rsid w:val="00425FE5"/>
    <w:rsid w:val="004263C1"/>
    <w:rsid w:val="00430170"/>
    <w:rsid w:val="00431D95"/>
    <w:rsid w:val="00433515"/>
    <w:rsid w:val="00437A03"/>
    <w:rsid w:val="00441802"/>
    <w:rsid w:val="00442314"/>
    <w:rsid w:val="004445C2"/>
    <w:rsid w:val="00445BAC"/>
    <w:rsid w:val="00447829"/>
    <w:rsid w:val="004542B8"/>
    <w:rsid w:val="0045714A"/>
    <w:rsid w:val="004640D8"/>
    <w:rsid w:val="00464A42"/>
    <w:rsid w:val="004651A4"/>
    <w:rsid w:val="004652C9"/>
    <w:rsid w:val="00467D72"/>
    <w:rsid w:val="00470827"/>
    <w:rsid w:val="004754B9"/>
    <w:rsid w:val="004777A3"/>
    <w:rsid w:val="00481C24"/>
    <w:rsid w:val="00483052"/>
    <w:rsid w:val="00484557"/>
    <w:rsid w:val="00487B56"/>
    <w:rsid w:val="004A18D2"/>
    <w:rsid w:val="004A282B"/>
    <w:rsid w:val="004A3D64"/>
    <w:rsid w:val="004A4F80"/>
    <w:rsid w:val="004A58A0"/>
    <w:rsid w:val="004B3147"/>
    <w:rsid w:val="004C2BF2"/>
    <w:rsid w:val="004C44FD"/>
    <w:rsid w:val="004C5525"/>
    <w:rsid w:val="004C6B7B"/>
    <w:rsid w:val="004D21E9"/>
    <w:rsid w:val="004E4E91"/>
    <w:rsid w:val="004E674D"/>
    <w:rsid w:val="004F40F3"/>
    <w:rsid w:val="004F4DF8"/>
    <w:rsid w:val="004F5418"/>
    <w:rsid w:val="00502F80"/>
    <w:rsid w:val="00507535"/>
    <w:rsid w:val="005203D7"/>
    <w:rsid w:val="00521C75"/>
    <w:rsid w:val="00532C00"/>
    <w:rsid w:val="00532D89"/>
    <w:rsid w:val="005332EE"/>
    <w:rsid w:val="00534CBA"/>
    <w:rsid w:val="00544357"/>
    <w:rsid w:val="00547A47"/>
    <w:rsid w:val="005566CB"/>
    <w:rsid w:val="00566868"/>
    <w:rsid w:val="00570484"/>
    <w:rsid w:val="00571175"/>
    <w:rsid w:val="00572031"/>
    <w:rsid w:val="0057376D"/>
    <w:rsid w:val="0057381D"/>
    <w:rsid w:val="0057474A"/>
    <w:rsid w:val="00576549"/>
    <w:rsid w:val="00581896"/>
    <w:rsid w:val="00590383"/>
    <w:rsid w:val="00595D0D"/>
    <w:rsid w:val="005A5D2B"/>
    <w:rsid w:val="005A7675"/>
    <w:rsid w:val="005A7996"/>
    <w:rsid w:val="005B0E3A"/>
    <w:rsid w:val="005B13F9"/>
    <w:rsid w:val="005B18FA"/>
    <w:rsid w:val="005C1639"/>
    <w:rsid w:val="005C2FD7"/>
    <w:rsid w:val="005C4328"/>
    <w:rsid w:val="005D5BAD"/>
    <w:rsid w:val="005E71BD"/>
    <w:rsid w:val="005F5E94"/>
    <w:rsid w:val="005F6957"/>
    <w:rsid w:val="005F738A"/>
    <w:rsid w:val="00614815"/>
    <w:rsid w:val="00614D77"/>
    <w:rsid w:val="00620D4F"/>
    <w:rsid w:val="00621671"/>
    <w:rsid w:val="00622A80"/>
    <w:rsid w:val="00622CAF"/>
    <w:rsid w:val="006231B6"/>
    <w:rsid w:val="00627251"/>
    <w:rsid w:val="00630228"/>
    <w:rsid w:val="00636C77"/>
    <w:rsid w:val="00636F86"/>
    <w:rsid w:val="006372F8"/>
    <w:rsid w:val="0064179B"/>
    <w:rsid w:val="006422A3"/>
    <w:rsid w:val="006523BF"/>
    <w:rsid w:val="006536F0"/>
    <w:rsid w:val="00655B3E"/>
    <w:rsid w:val="006575B6"/>
    <w:rsid w:val="00663980"/>
    <w:rsid w:val="00664897"/>
    <w:rsid w:val="00666D1A"/>
    <w:rsid w:val="00667211"/>
    <w:rsid w:val="006714D7"/>
    <w:rsid w:val="00672679"/>
    <w:rsid w:val="00672E6F"/>
    <w:rsid w:val="00677A68"/>
    <w:rsid w:val="006825A1"/>
    <w:rsid w:val="006849D5"/>
    <w:rsid w:val="00687A00"/>
    <w:rsid w:val="00691F64"/>
    <w:rsid w:val="00694E6E"/>
    <w:rsid w:val="006A0286"/>
    <w:rsid w:val="006A10C0"/>
    <w:rsid w:val="006A1C5A"/>
    <w:rsid w:val="006A2B18"/>
    <w:rsid w:val="006A77C2"/>
    <w:rsid w:val="006B171C"/>
    <w:rsid w:val="006B2036"/>
    <w:rsid w:val="006B3829"/>
    <w:rsid w:val="006B47EA"/>
    <w:rsid w:val="006B6CB4"/>
    <w:rsid w:val="006C1672"/>
    <w:rsid w:val="006C2310"/>
    <w:rsid w:val="006C28D3"/>
    <w:rsid w:val="006D6EDC"/>
    <w:rsid w:val="006D7387"/>
    <w:rsid w:val="006D7A9A"/>
    <w:rsid w:val="006E30E5"/>
    <w:rsid w:val="006E6465"/>
    <w:rsid w:val="006E70F4"/>
    <w:rsid w:val="006F45DB"/>
    <w:rsid w:val="006F7CE7"/>
    <w:rsid w:val="0070072F"/>
    <w:rsid w:val="00701F5E"/>
    <w:rsid w:val="007023D9"/>
    <w:rsid w:val="00704931"/>
    <w:rsid w:val="00712413"/>
    <w:rsid w:val="00714B02"/>
    <w:rsid w:val="00724B7B"/>
    <w:rsid w:val="00726896"/>
    <w:rsid w:val="00731832"/>
    <w:rsid w:val="00734577"/>
    <w:rsid w:val="00737886"/>
    <w:rsid w:val="00740C53"/>
    <w:rsid w:val="00741A28"/>
    <w:rsid w:val="00742FA3"/>
    <w:rsid w:val="0074685F"/>
    <w:rsid w:val="007533BA"/>
    <w:rsid w:val="007567F6"/>
    <w:rsid w:val="007632EC"/>
    <w:rsid w:val="007660D3"/>
    <w:rsid w:val="0077719F"/>
    <w:rsid w:val="00777A8E"/>
    <w:rsid w:val="00781329"/>
    <w:rsid w:val="00781416"/>
    <w:rsid w:val="007819C2"/>
    <w:rsid w:val="00781E01"/>
    <w:rsid w:val="00782677"/>
    <w:rsid w:val="007915FE"/>
    <w:rsid w:val="00796F4F"/>
    <w:rsid w:val="007A046A"/>
    <w:rsid w:val="007A3587"/>
    <w:rsid w:val="007B64A8"/>
    <w:rsid w:val="007C1B5C"/>
    <w:rsid w:val="007C37CE"/>
    <w:rsid w:val="007C572B"/>
    <w:rsid w:val="007D6646"/>
    <w:rsid w:val="007E0BE5"/>
    <w:rsid w:val="007E2510"/>
    <w:rsid w:val="007F356D"/>
    <w:rsid w:val="007F7EA5"/>
    <w:rsid w:val="00803614"/>
    <w:rsid w:val="008064E5"/>
    <w:rsid w:val="00817399"/>
    <w:rsid w:val="00821B89"/>
    <w:rsid w:val="008227A3"/>
    <w:rsid w:val="00822914"/>
    <w:rsid w:val="008233F7"/>
    <w:rsid w:val="0082537F"/>
    <w:rsid w:val="00827670"/>
    <w:rsid w:val="00830AB3"/>
    <w:rsid w:val="008352D3"/>
    <w:rsid w:val="00837784"/>
    <w:rsid w:val="00845706"/>
    <w:rsid w:val="00850022"/>
    <w:rsid w:val="00851C3C"/>
    <w:rsid w:val="00860201"/>
    <w:rsid w:val="00860392"/>
    <w:rsid w:val="0086262D"/>
    <w:rsid w:val="00867A8D"/>
    <w:rsid w:val="00871637"/>
    <w:rsid w:val="008720C1"/>
    <w:rsid w:val="00873C9D"/>
    <w:rsid w:val="00876E3C"/>
    <w:rsid w:val="00877E86"/>
    <w:rsid w:val="00880612"/>
    <w:rsid w:val="00881ABE"/>
    <w:rsid w:val="0088456F"/>
    <w:rsid w:val="00885575"/>
    <w:rsid w:val="00885DF3"/>
    <w:rsid w:val="008873BF"/>
    <w:rsid w:val="0089380B"/>
    <w:rsid w:val="008945DB"/>
    <w:rsid w:val="00894BF9"/>
    <w:rsid w:val="008A07F9"/>
    <w:rsid w:val="008A190F"/>
    <w:rsid w:val="008A7173"/>
    <w:rsid w:val="008A76F8"/>
    <w:rsid w:val="008B3604"/>
    <w:rsid w:val="008B4100"/>
    <w:rsid w:val="008B63E8"/>
    <w:rsid w:val="008B7EBB"/>
    <w:rsid w:val="008C049C"/>
    <w:rsid w:val="008C42A9"/>
    <w:rsid w:val="008D4A23"/>
    <w:rsid w:val="008D5233"/>
    <w:rsid w:val="008D615C"/>
    <w:rsid w:val="008E54A0"/>
    <w:rsid w:val="008F13EF"/>
    <w:rsid w:val="008F3251"/>
    <w:rsid w:val="008F35FC"/>
    <w:rsid w:val="008F63AF"/>
    <w:rsid w:val="00903135"/>
    <w:rsid w:val="009072A7"/>
    <w:rsid w:val="009113A7"/>
    <w:rsid w:val="00923BBE"/>
    <w:rsid w:val="00925EDC"/>
    <w:rsid w:val="00931DF3"/>
    <w:rsid w:val="0093327E"/>
    <w:rsid w:val="009350D4"/>
    <w:rsid w:val="00936531"/>
    <w:rsid w:val="00944D64"/>
    <w:rsid w:val="00945618"/>
    <w:rsid w:val="009457CD"/>
    <w:rsid w:val="009464D8"/>
    <w:rsid w:val="00947602"/>
    <w:rsid w:val="00951478"/>
    <w:rsid w:val="00951AB2"/>
    <w:rsid w:val="00954F92"/>
    <w:rsid w:val="00956118"/>
    <w:rsid w:val="00964B45"/>
    <w:rsid w:val="0097226A"/>
    <w:rsid w:val="0097623A"/>
    <w:rsid w:val="00976E38"/>
    <w:rsid w:val="0097728E"/>
    <w:rsid w:val="009824EC"/>
    <w:rsid w:val="0098320C"/>
    <w:rsid w:val="0098495F"/>
    <w:rsid w:val="00985063"/>
    <w:rsid w:val="00985F11"/>
    <w:rsid w:val="00986FF7"/>
    <w:rsid w:val="00987AE5"/>
    <w:rsid w:val="0099535A"/>
    <w:rsid w:val="009B277A"/>
    <w:rsid w:val="009B3D7F"/>
    <w:rsid w:val="009B4DF0"/>
    <w:rsid w:val="009D213E"/>
    <w:rsid w:val="009E0028"/>
    <w:rsid w:val="009E0981"/>
    <w:rsid w:val="009E1278"/>
    <w:rsid w:val="009E1432"/>
    <w:rsid w:val="009E2917"/>
    <w:rsid w:val="009E7B1F"/>
    <w:rsid w:val="009F754C"/>
    <w:rsid w:val="009F7881"/>
    <w:rsid w:val="00A027CD"/>
    <w:rsid w:val="00A04764"/>
    <w:rsid w:val="00A132F6"/>
    <w:rsid w:val="00A17714"/>
    <w:rsid w:val="00A25A8C"/>
    <w:rsid w:val="00A26A1F"/>
    <w:rsid w:val="00A3162B"/>
    <w:rsid w:val="00A32E31"/>
    <w:rsid w:val="00A342B5"/>
    <w:rsid w:val="00A37715"/>
    <w:rsid w:val="00A41C7A"/>
    <w:rsid w:val="00A43653"/>
    <w:rsid w:val="00A44DA3"/>
    <w:rsid w:val="00A53891"/>
    <w:rsid w:val="00A5488C"/>
    <w:rsid w:val="00A57395"/>
    <w:rsid w:val="00A604A5"/>
    <w:rsid w:val="00A62F9D"/>
    <w:rsid w:val="00A65B72"/>
    <w:rsid w:val="00A7186C"/>
    <w:rsid w:val="00A746F7"/>
    <w:rsid w:val="00A75E02"/>
    <w:rsid w:val="00A77009"/>
    <w:rsid w:val="00A8110C"/>
    <w:rsid w:val="00A82A69"/>
    <w:rsid w:val="00A91BA1"/>
    <w:rsid w:val="00A9321A"/>
    <w:rsid w:val="00A934AA"/>
    <w:rsid w:val="00A968B1"/>
    <w:rsid w:val="00AB6251"/>
    <w:rsid w:val="00AC0D35"/>
    <w:rsid w:val="00AC3A56"/>
    <w:rsid w:val="00AC5B74"/>
    <w:rsid w:val="00AD209F"/>
    <w:rsid w:val="00AE288E"/>
    <w:rsid w:val="00AE6A77"/>
    <w:rsid w:val="00AF1453"/>
    <w:rsid w:val="00AF44BA"/>
    <w:rsid w:val="00AF4B2D"/>
    <w:rsid w:val="00AF6FB9"/>
    <w:rsid w:val="00AF782A"/>
    <w:rsid w:val="00B012AA"/>
    <w:rsid w:val="00B1150D"/>
    <w:rsid w:val="00B136EB"/>
    <w:rsid w:val="00B160A9"/>
    <w:rsid w:val="00B163DC"/>
    <w:rsid w:val="00B16852"/>
    <w:rsid w:val="00B23E82"/>
    <w:rsid w:val="00B25937"/>
    <w:rsid w:val="00B27719"/>
    <w:rsid w:val="00B34DF3"/>
    <w:rsid w:val="00B36119"/>
    <w:rsid w:val="00B36C23"/>
    <w:rsid w:val="00B403CF"/>
    <w:rsid w:val="00B44CE4"/>
    <w:rsid w:val="00B517BE"/>
    <w:rsid w:val="00B541CC"/>
    <w:rsid w:val="00B54454"/>
    <w:rsid w:val="00B628D3"/>
    <w:rsid w:val="00B62CFB"/>
    <w:rsid w:val="00B63097"/>
    <w:rsid w:val="00B64F58"/>
    <w:rsid w:val="00B659CB"/>
    <w:rsid w:val="00B661B8"/>
    <w:rsid w:val="00B757D0"/>
    <w:rsid w:val="00B83082"/>
    <w:rsid w:val="00B86364"/>
    <w:rsid w:val="00B8711F"/>
    <w:rsid w:val="00B915EB"/>
    <w:rsid w:val="00B93449"/>
    <w:rsid w:val="00BA39E4"/>
    <w:rsid w:val="00BA3A37"/>
    <w:rsid w:val="00BA5638"/>
    <w:rsid w:val="00BA5AB1"/>
    <w:rsid w:val="00BA5F93"/>
    <w:rsid w:val="00BB5029"/>
    <w:rsid w:val="00BC29B6"/>
    <w:rsid w:val="00BC5DC7"/>
    <w:rsid w:val="00BD186B"/>
    <w:rsid w:val="00BE624C"/>
    <w:rsid w:val="00C00703"/>
    <w:rsid w:val="00C04509"/>
    <w:rsid w:val="00C23DFD"/>
    <w:rsid w:val="00C2505D"/>
    <w:rsid w:val="00C3315D"/>
    <w:rsid w:val="00C343AE"/>
    <w:rsid w:val="00C36533"/>
    <w:rsid w:val="00C40981"/>
    <w:rsid w:val="00C47B8E"/>
    <w:rsid w:val="00C52464"/>
    <w:rsid w:val="00C5332F"/>
    <w:rsid w:val="00C550DD"/>
    <w:rsid w:val="00C57562"/>
    <w:rsid w:val="00C66698"/>
    <w:rsid w:val="00C66DC7"/>
    <w:rsid w:val="00C71A67"/>
    <w:rsid w:val="00C767A4"/>
    <w:rsid w:val="00C87230"/>
    <w:rsid w:val="00C87444"/>
    <w:rsid w:val="00C90291"/>
    <w:rsid w:val="00C940DB"/>
    <w:rsid w:val="00C96645"/>
    <w:rsid w:val="00C97354"/>
    <w:rsid w:val="00CA4352"/>
    <w:rsid w:val="00CA5D1B"/>
    <w:rsid w:val="00CA640C"/>
    <w:rsid w:val="00CB28DA"/>
    <w:rsid w:val="00CB6009"/>
    <w:rsid w:val="00CB7805"/>
    <w:rsid w:val="00CC68DD"/>
    <w:rsid w:val="00CC7286"/>
    <w:rsid w:val="00CC787B"/>
    <w:rsid w:val="00CD28CB"/>
    <w:rsid w:val="00CE3C8D"/>
    <w:rsid w:val="00CE46EC"/>
    <w:rsid w:val="00D01319"/>
    <w:rsid w:val="00D031AD"/>
    <w:rsid w:val="00D0447E"/>
    <w:rsid w:val="00D0528E"/>
    <w:rsid w:val="00D0626E"/>
    <w:rsid w:val="00D1094D"/>
    <w:rsid w:val="00D14F2F"/>
    <w:rsid w:val="00D163C6"/>
    <w:rsid w:val="00D17EC7"/>
    <w:rsid w:val="00D25392"/>
    <w:rsid w:val="00D335DF"/>
    <w:rsid w:val="00D33CEF"/>
    <w:rsid w:val="00D40791"/>
    <w:rsid w:val="00D40A1D"/>
    <w:rsid w:val="00D40E7F"/>
    <w:rsid w:val="00D41164"/>
    <w:rsid w:val="00D4125B"/>
    <w:rsid w:val="00D4174D"/>
    <w:rsid w:val="00D41B49"/>
    <w:rsid w:val="00D43505"/>
    <w:rsid w:val="00D438F7"/>
    <w:rsid w:val="00D43E16"/>
    <w:rsid w:val="00D454F4"/>
    <w:rsid w:val="00D46559"/>
    <w:rsid w:val="00D51AE5"/>
    <w:rsid w:val="00D55388"/>
    <w:rsid w:val="00D5740C"/>
    <w:rsid w:val="00D6144D"/>
    <w:rsid w:val="00D61964"/>
    <w:rsid w:val="00D621BD"/>
    <w:rsid w:val="00D72F3B"/>
    <w:rsid w:val="00D72F9E"/>
    <w:rsid w:val="00D730F7"/>
    <w:rsid w:val="00D75EB9"/>
    <w:rsid w:val="00D7619F"/>
    <w:rsid w:val="00D76445"/>
    <w:rsid w:val="00D80A45"/>
    <w:rsid w:val="00D833B8"/>
    <w:rsid w:val="00D8605C"/>
    <w:rsid w:val="00D86E5E"/>
    <w:rsid w:val="00D91C86"/>
    <w:rsid w:val="00D96141"/>
    <w:rsid w:val="00D96BE3"/>
    <w:rsid w:val="00D96F69"/>
    <w:rsid w:val="00DA04FE"/>
    <w:rsid w:val="00DB1D76"/>
    <w:rsid w:val="00DB2707"/>
    <w:rsid w:val="00DB3096"/>
    <w:rsid w:val="00DB47EC"/>
    <w:rsid w:val="00DB501C"/>
    <w:rsid w:val="00DB518B"/>
    <w:rsid w:val="00DB572E"/>
    <w:rsid w:val="00DB62BE"/>
    <w:rsid w:val="00DB7164"/>
    <w:rsid w:val="00DC2C6A"/>
    <w:rsid w:val="00DC4EF0"/>
    <w:rsid w:val="00DD2A72"/>
    <w:rsid w:val="00DE36DD"/>
    <w:rsid w:val="00DF0359"/>
    <w:rsid w:val="00DF0A14"/>
    <w:rsid w:val="00DF2A50"/>
    <w:rsid w:val="00E101A9"/>
    <w:rsid w:val="00E10693"/>
    <w:rsid w:val="00E1194F"/>
    <w:rsid w:val="00E12781"/>
    <w:rsid w:val="00E12938"/>
    <w:rsid w:val="00E24644"/>
    <w:rsid w:val="00E25164"/>
    <w:rsid w:val="00E26FC5"/>
    <w:rsid w:val="00E27D62"/>
    <w:rsid w:val="00E30A05"/>
    <w:rsid w:val="00E31FBE"/>
    <w:rsid w:val="00E334D1"/>
    <w:rsid w:val="00E33886"/>
    <w:rsid w:val="00E375FB"/>
    <w:rsid w:val="00E37752"/>
    <w:rsid w:val="00E37ED3"/>
    <w:rsid w:val="00E42CB8"/>
    <w:rsid w:val="00E45785"/>
    <w:rsid w:val="00E47171"/>
    <w:rsid w:val="00E52C27"/>
    <w:rsid w:val="00E56BF4"/>
    <w:rsid w:val="00E61C73"/>
    <w:rsid w:val="00E630A9"/>
    <w:rsid w:val="00E64E18"/>
    <w:rsid w:val="00E65957"/>
    <w:rsid w:val="00E661FB"/>
    <w:rsid w:val="00E7144E"/>
    <w:rsid w:val="00E72D51"/>
    <w:rsid w:val="00E739FF"/>
    <w:rsid w:val="00E74CD6"/>
    <w:rsid w:val="00E7565B"/>
    <w:rsid w:val="00E779CE"/>
    <w:rsid w:val="00E77BEE"/>
    <w:rsid w:val="00E8176D"/>
    <w:rsid w:val="00E86B01"/>
    <w:rsid w:val="00E93D78"/>
    <w:rsid w:val="00E94663"/>
    <w:rsid w:val="00E96BC5"/>
    <w:rsid w:val="00E96FB5"/>
    <w:rsid w:val="00E97478"/>
    <w:rsid w:val="00E97F3F"/>
    <w:rsid w:val="00EA0302"/>
    <w:rsid w:val="00EA7D36"/>
    <w:rsid w:val="00EB0DB9"/>
    <w:rsid w:val="00EB0E3A"/>
    <w:rsid w:val="00EB2AAC"/>
    <w:rsid w:val="00EC264C"/>
    <w:rsid w:val="00EC32A6"/>
    <w:rsid w:val="00ED0BDA"/>
    <w:rsid w:val="00ED2032"/>
    <w:rsid w:val="00ED4F3E"/>
    <w:rsid w:val="00ED6EC4"/>
    <w:rsid w:val="00EE1459"/>
    <w:rsid w:val="00EE6112"/>
    <w:rsid w:val="00EF575D"/>
    <w:rsid w:val="00EF58FA"/>
    <w:rsid w:val="00EF592A"/>
    <w:rsid w:val="00F000F7"/>
    <w:rsid w:val="00F0191E"/>
    <w:rsid w:val="00F03246"/>
    <w:rsid w:val="00F0641D"/>
    <w:rsid w:val="00F07DB0"/>
    <w:rsid w:val="00F16EC2"/>
    <w:rsid w:val="00F20259"/>
    <w:rsid w:val="00F25634"/>
    <w:rsid w:val="00F30416"/>
    <w:rsid w:val="00F3312E"/>
    <w:rsid w:val="00F34942"/>
    <w:rsid w:val="00F37A25"/>
    <w:rsid w:val="00F40604"/>
    <w:rsid w:val="00F4341B"/>
    <w:rsid w:val="00F45207"/>
    <w:rsid w:val="00F527BA"/>
    <w:rsid w:val="00F53B9C"/>
    <w:rsid w:val="00F53D38"/>
    <w:rsid w:val="00F54C37"/>
    <w:rsid w:val="00F65843"/>
    <w:rsid w:val="00F73DFD"/>
    <w:rsid w:val="00F74FC6"/>
    <w:rsid w:val="00F7539E"/>
    <w:rsid w:val="00F837C0"/>
    <w:rsid w:val="00F86DDF"/>
    <w:rsid w:val="00F8784B"/>
    <w:rsid w:val="00F87C05"/>
    <w:rsid w:val="00F9585B"/>
    <w:rsid w:val="00FA273D"/>
    <w:rsid w:val="00FA2B77"/>
    <w:rsid w:val="00FA7063"/>
    <w:rsid w:val="00FA7F26"/>
    <w:rsid w:val="00FB0902"/>
    <w:rsid w:val="00FB44A5"/>
    <w:rsid w:val="00FB7F96"/>
    <w:rsid w:val="00FC4F3D"/>
    <w:rsid w:val="00FC7B3C"/>
    <w:rsid w:val="00FC7CC0"/>
    <w:rsid w:val="00FD1363"/>
    <w:rsid w:val="00FD1826"/>
    <w:rsid w:val="00FD239A"/>
    <w:rsid w:val="00FD2FCB"/>
    <w:rsid w:val="00FD51D3"/>
    <w:rsid w:val="00FE0042"/>
    <w:rsid w:val="00FE3A70"/>
    <w:rsid w:val="00FF34FC"/>
    <w:rsid w:val="00FF744B"/>
    <w:rsid w:val="00FF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E7D7D"/>
  <w15:docId w15:val="{E5BF0089-C63F-497C-A670-3E5166B9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B8"/>
    <w:pPr>
      <w:spacing w:after="200" w:line="276" w:lineRule="auto"/>
    </w:pPr>
  </w:style>
  <w:style w:type="paragraph" w:styleId="Heading1">
    <w:name w:val="heading 1"/>
    <w:basedOn w:val="Normal"/>
    <w:next w:val="Normal"/>
    <w:link w:val="Heading1Char"/>
    <w:uiPriority w:val="9"/>
    <w:qFormat/>
    <w:rsid w:val="00742FA3"/>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742FA3"/>
    <w:pPr>
      <w:keepNext/>
      <w:keepLines/>
      <w:spacing w:before="40" w:after="0"/>
      <w:jc w:val="center"/>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FA3"/>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2132B8"/>
    <w:pPr>
      <w:spacing w:line="259" w:lineRule="auto"/>
      <w:outlineLvl w:val="9"/>
    </w:pPr>
  </w:style>
  <w:style w:type="paragraph" w:styleId="ListParagraph">
    <w:name w:val="List Paragraph"/>
    <w:basedOn w:val="Normal"/>
    <w:uiPriority w:val="34"/>
    <w:qFormat/>
    <w:rsid w:val="002132B8"/>
    <w:pPr>
      <w:ind w:left="720"/>
      <w:contextualSpacing/>
    </w:pPr>
  </w:style>
  <w:style w:type="paragraph" w:customStyle="1" w:styleId="Standard">
    <w:name w:val="Standard"/>
    <w:rsid w:val="00F000F7"/>
    <w:pPr>
      <w:widowControl w:val="0"/>
      <w:suppressAutoHyphens/>
      <w:autoSpaceDN w:val="0"/>
      <w:spacing w:after="0" w:line="240" w:lineRule="auto"/>
    </w:pPr>
    <w:rPr>
      <w:rFonts w:ascii="Times New Roman" w:eastAsia="Andale Sans UI" w:hAnsi="Times New Roman" w:cs="Tahoma"/>
      <w:kern w:val="3"/>
      <w:sz w:val="24"/>
      <w:szCs w:val="24"/>
      <w:lang w:bidi="en-US"/>
    </w:rPr>
  </w:style>
  <w:style w:type="paragraph" w:customStyle="1" w:styleId="Textbodyindent">
    <w:name w:val="Text body indent"/>
    <w:basedOn w:val="Standard"/>
    <w:rsid w:val="00F000F7"/>
    <w:pPr>
      <w:ind w:left="720" w:firstLine="720"/>
      <w:jc w:val="both"/>
    </w:pPr>
  </w:style>
  <w:style w:type="character" w:styleId="Hyperlink">
    <w:name w:val="Hyperlink"/>
    <w:basedOn w:val="DefaultParagraphFont"/>
    <w:uiPriority w:val="99"/>
    <w:unhideWhenUsed/>
    <w:rsid w:val="00195DF7"/>
    <w:rPr>
      <w:color w:val="0563C1" w:themeColor="hyperlink"/>
      <w:u w:val="single"/>
    </w:rPr>
  </w:style>
  <w:style w:type="character" w:styleId="CommentReference">
    <w:name w:val="annotation reference"/>
    <w:basedOn w:val="DefaultParagraphFont"/>
    <w:uiPriority w:val="99"/>
    <w:semiHidden/>
    <w:unhideWhenUsed/>
    <w:rsid w:val="00945618"/>
    <w:rPr>
      <w:sz w:val="16"/>
      <w:szCs w:val="16"/>
    </w:rPr>
  </w:style>
  <w:style w:type="paragraph" w:styleId="CommentText">
    <w:name w:val="annotation text"/>
    <w:basedOn w:val="Normal"/>
    <w:link w:val="CommentTextChar"/>
    <w:uiPriority w:val="99"/>
    <w:semiHidden/>
    <w:unhideWhenUsed/>
    <w:rsid w:val="00945618"/>
    <w:pPr>
      <w:spacing w:line="240" w:lineRule="auto"/>
    </w:pPr>
    <w:rPr>
      <w:sz w:val="20"/>
      <w:szCs w:val="20"/>
    </w:rPr>
  </w:style>
  <w:style w:type="character" w:customStyle="1" w:styleId="CommentTextChar">
    <w:name w:val="Comment Text Char"/>
    <w:basedOn w:val="DefaultParagraphFont"/>
    <w:link w:val="CommentText"/>
    <w:uiPriority w:val="99"/>
    <w:semiHidden/>
    <w:rsid w:val="00945618"/>
    <w:rPr>
      <w:sz w:val="20"/>
      <w:szCs w:val="20"/>
    </w:rPr>
  </w:style>
  <w:style w:type="paragraph" w:styleId="CommentSubject">
    <w:name w:val="annotation subject"/>
    <w:basedOn w:val="CommentText"/>
    <w:next w:val="CommentText"/>
    <w:link w:val="CommentSubjectChar"/>
    <w:uiPriority w:val="99"/>
    <w:semiHidden/>
    <w:unhideWhenUsed/>
    <w:rsid w:val="00945618"/>
    <w:rPr>
      <w:b/>
      <w:bCs/>
    </w:rPr>
  </w:style>
  <w:style w:type="character" w:customStyle="1" w:styleId="CommentSubjectChar">
    <w:name w:val="Comment Subject Char"/>
    <w:basedOn w:val="CommentTextChar"/>
    <w:link w:val="CommentSubject"/>
    <w:uiPriority w:val="99"/>
    <w:semiHidden/>
    <w:rsid w:val="00945618"/>
    <w:rPr>
      <w:b/>
      <w:bCs/>
      <w:sz w:val="20"/>
      <w:szCs w:val="20"/>
    </w:rPr>
  </w:style>
  <w:style w:type="paragraph" w:styleId="BalloonText">
    <w:name w:val="Balloon Text"/>
    <w:basedOn w:val="Normal"/>
    <w:link w:val="BalloonTextChar"/>
    <w:uiPriority w:val="99"/>
    <w:semiHidden/>
    <w:unhideWhenUsed/>
    <w:rsid w:val="00945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618"/>
    <w:rPr>
      <w:rFonts w:ascii="Segoe UI" w:hAnsi="Segoe UI" w:cs="Segoe UI"/>
      <w:sz w:val="18"/>
      <w:szCs w:val="18"/>
    </w:rPr>
  </w:style>
  <w:style w:type="table" w:styleId="TableGrid">
    <w:name w:val="Table Grid"/>
    <w:basedOn w:val="TableNormal"/>
    <w:uiPriority w:val="39"/>
    <w:rsid w:val="00075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otekstotrauka31">
    <w:name w:val="Pagrindinio teksto įtrauka 31"/>
    <w:basedOn w:val="Normal"/>
    <w:rsid w:val="001E757A"/>
    <w:pPr>
      <w:spacing w:after="160" w:line="256" w:lineRule="auto"/>
      <w:ind w:firstLine="1080"/>
      <w:jc w:val="both"/>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742FA3"/>
    <w:rPr>
      <w:rFonts w:ascii="Times New Roman" w:eastAsiaTheme="majorEastAsia" w:hAnsi="Times New Roman" w:cstheme="majorBidi"/>
      <w:b/>
      <w:sz w:val="24"/>
      <w:szCs w:val="26"/>
    </w:rPr>
  </w:style>
  <w:style w:type="paragraph" w:styleId="TOC1">
    <w:name w:val="toc 1"/>
    <w:basedOn w:val="Normal"/>
    <w:next w:val="Normal"/>
    <w:autoRedefine/>
    <w:uiPriority w:val="39"/>
    <w:unhideWhenUsed/>
    <w:rsid w:val="00247B9F"/>
    <w:pPr>
      <w:spacing w:after="100"/>
    </w:pPr>
  </w:style>
  <w:style w:type="paragraph" w:styleId="TOC2">
    <w:name w:val="toc 2"/>
    <w:basedOn w:val="Normal"/>
    <w:next w:val="Normal"/>
    <w:autoRedefine/>
    <w:uiPriority w:val="39"/>
    <w:unhideWhenUsed/>
    <w:rsid w:val="00247B9F"/>
    <w:pPr>
      <w:spacing w:after="100"/>
      <w:ind w:left="220"/>
    </w:pPr>
  </w:style>
  <w:style w:type="character" w:styleId="FollowedHyperlink">
    <w:name w:val="FollowedHyperlink"/>
    <w:basedOn w:val="DefaultParagraphFont"/>
    <w:uiPriority w:val="99"/>
    <w:semiHidden/>
    <w:unhideWhenUsed/>
    <w:rsid w:val="00076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468">
      <w:bodyDiv w:val="1"/>
      <w:marLeft w:val="0"/>
      <w:marRight w:val="0"/>
      <w:marTop w:val="0"/>
      <w:marBottom w:val="0"/>
      <w:divBdr>
        <w:top w:val="none" w:sz="0" w:space="0" w:color="auto"/>
        <w:left w:val="none" w:sz="0" w:space="0" w:color="auto"/>
        <w:bottom w:val="none" w:sz="0" w:space="0" w:color="auto"/>
        <w:right w:val="none" w:sz="0" w:space="0" w:color="auto"/>
      </w:divBdr>
    </w:div>
    <w:div w:id="336545569">
      <w:bodyDiv w:val="1"/>
      <w:marLeft w:val="0"/>
      <w:marRight w:val="0"/>
      <w:marTop w:val="0"/>
      <w:marBottom w:val="0"/>
      <w:divBdr>
        <w:top w:val="none" w:sz="0" w:space="0" w:color="auto"/>
        <w:left w:val="none" w:sz="0" w:space="0" w:color="auto"/>
        <w:bottom w:val="none" w:sz="0" w:space="0" w:color="auto"/>
        <w:right w:val="none" w:sz="0" w:space="0" w:color="auto"/>
      </w:divBdr>
    </w:div>
    <w:div w:id="337074792">
      <w:bodyDiv w:val="1"/>
      <w:marLeft w:val="0"/>
      <w:marRight w:val="0"/>
      <w:marTop w:val="0"/>
      <w:marBottom w:val="0"/>
      <w:divBdr>
        <w:top w:val="none" w:sz="0" w:space="0" w:color="auto"/>
        <w:left w:val="none" w:sz="0" w:space="0" w:color="auto"/>
        <w:bottom w:val="none" w:sz="0" w:space="0" w:color="auto"/>
        <w:right w:val="none" w:sz="0" w:space="0" w:color="auto"/>
      </w:divBdr>
    </w:div>
    <w:div w:id="391582436">
      <w:bodyDiv w:val="1"/>
      <w:marLeft w:val="0"/>
      <w:marRight w:val="0"/>
      <w:marTop w:val="0"/>
      <w:marBottom w:val="0"/>
      <w:divBdr>
        <w:top w:val="none" w:sz="0" w:space="0" w:color="auto"/>
        <w:left w:val="none" w:sz="0" w:space="0" w:color="auto"/>
        <w:bottom w:val="none" w:sz="0" w:space="0" w:color="auto"/>
        <w:right w:val="none" w:sz="0" w:space="0" w:color="auto"/>
      </w:divBdr>
    </w:div>
    <w:div w:id="406928013">
      <w:bodyDiv w:val="1"/>
      <w:marLeft w:val="0"/>
      <w:marRight w:val="0"/>
      <w:marTop w:val="0"/>
      <w:marBottom w:val="0"/>
      <w:divBdr>
        <w:top w:val="none" w:sz="0" w:space="0" w:color="auto"/>
        <w:left w:val="none" w:sz="0" w:space="0" w:color="auto"/>
        <w:bottom w:val="none" w:sz="0" w:space="0" w:color="auto"/>
        <w:right w:val="none" w:sz="0" w:space="0" w:color="auto"/>
      </w:divBdr>
    </w:div>
    <w:div w:id="451167269">
      <w:bodyDiv w:val="1"/>
      <w:marLeft w:val="0"/>
      <w:marRight w:val="0"/>
      <w:marTop w:val="0"/>
      <w:marBottom w:val="0"/>
      <w:divBdr>
        <w:top w:val="none" w:sz="0" w:space="0" w:color="auto"/>
        <w:left w:val="none" w:sz="0" w:space="0" w:color="auto"/>
        <w:bottom w:val="none" w:sz="0" w:space="0" w:color="auto"/>
        <w:right w:val="none" w:sz="0" w:space="0" w:color="auto"/>
      </w:divBdr>
    </w:div>
    <w:div w:id="479151218">
      <w:bodyDiv w:val="1"/>
      <w:marLeft w:val="0"/>
      <w:marRight w:val="0"/>
      <w:marTop w:val="0"/>
      <w:marBottom w:val="0"/>
      <w:divBdr>
        <w:top w:val="none" w:sz="0" w:space="0" w:color="auto"/>
        <w:left w:val="none" w:sz="0" w:space="0" w:color="auto"/>
        <w:bottom w:val="none" w:sz="0" w:space="0" w:color="auto"/>
        <w:right w:val="none" w:sz="0" w:space="0" w:color="auto"/>
      </w:divBdr>
    </w:div>
    <w:div w:id="535435506">
      <w:bodyDiv w:val="1"/>
      <w:marLeft w:val="0"/>
      <w:marRight w:val="0"/>
      <w:marTop w:val="0"/>
      <w:marBottom w:val="0"/>
      <w:divBdr>
        <w:top w:val="none" w:sz="0" w:space="0" w:color="auto"/>
        <w:left w:val="none" w:sz="0" w:space="0" w:color="auto"/>
        <w:bottom w:val="none" w:sz="0" w:space="0" w:color="auto"/>
        <w:right w:val="none" w:sz="0" w:space="0" w:color="auto"/>
      </w:divBdr>
    </w:div>
    <w:div w:id="595089920">
      <w:bodyDiv w:val="1"/>
      <w:marLeft w:val="0"/>
      <w:marRight w:val="0"/>
      <w:marTop w:val="0"/>
      <w:marBottom w:val="0"/>
      <w:divBdr>
        <w:top w:val="none" w:sz="0" w:space="0" w:color="auto"/>
        <w:left w:val="none" w:sz="0" w:space="0" w:color="auto"/>
        <w:bottom w:val="none" w:sz="0" w:space="0" w:color="auto"/>
        <w:right w:val="none" w:sz="0" w:space="0" w:color="auto"/>
      </w:divBdr>
    </w:div>
    <w:div w:id="595480562">
      <w:bodyDiv w:val="1"/>
      <w:marLeft w:val="0"/>
      <w:marRight w:val="0"/>
      <w:marTop w:val="0"/>
      <w:marBottom w:val="0"/>
      <w:divBdr>
        <w:top w:val="none" w:sz="0" w:space="0" w:color="auto"/>
        <w:left w:val="none" w:sz="0" w:space="0" w:color="auto"/>
        <w:bottom w:val="none" w:sz="0" w:space="0" w:color="auto"/>
        <w:right w:val="none" w:sz="0" w:space="0" w:color="auto"/>
      </w:divBdr>
    </w:div>
    <w:div w:id="676544053">
      <w:bodyDiv w:val="1"/>
      <w:marLeft w:val="0"/>
      <w:marRight w:val="0"/>
      <w:marTop w:val="0"/>
      <w:marBottom w:val="0"/>
      <w:divBdr>
        <w:top w:val="none" w:sz="0" w:space="0" w:color="auto"/>
        <w:left w:val="none" w:sz="0" w:space="0" w:color="auto"/>
        <w:bottom w:val="none" w:sz="0" w:space="0" w:color="auto"/>
        <w:right w:val="none" w:sz="0" w:space="0" w:color="auto"/>
      </w:divBdr>
    </w:div>
    <w:div w:id="772163173">
      <w:bodyDiv w:val="1"/>
      <w:marLeft w:val="0"/>
      <w:marRight w:val="0"/>
      <w:marTop w:val="0"/>
      <w:marBottom w:val="0"/>
      <w:divBdr>
        <w:top w:val="none" w:sz="0" w:space="0" w:color="auto"/>
        <w:left w:val="none" w:sz="0" w:space="0" w:color="auto"/>
        <w:bottom w:val="none" w:sz="0" w:space="0" w:color="auto"/>
        <w:right w:val="none" w:sz="0" w:space="0" w:color="auto"/>
      </w:divBdr>
    </w:div>
    <w:div w:id="809592045">
      <w:bodyDiv w:val="1"/>
      <w:marLeft w:val="0"/>
      <w:marRight w:val="0"/>
      <w:marTop w:val="0"/>
      <w:marBottom w:val="0"/>
      <w:divBdr>
        <w:top w:val="none" w:sz="0" w:space="0" w:color="auto"/>
        <w:left w:val="none" w:sz="0" w:space="0" w:color="auto"/>
        <w:bottom w:val="none" w:sz="0" w:space="0" w:color="auto"/>
        <w:right w:val="none" w:sz="0" w:space="0" w:color="auto"/>
      </w:divBdr>
    </w:div>
    <w:div w:id="993684849">
      <w:bodyDiv w:val="1"/>
      <w:marLeft w:val="0"/>
      <w:marRight w:val="0"/>
      <w:marTop w:val="0"/>
      <w:marBottom w:val="0"/>
      <w:divBdr>
        <w:top w:val="none" w:sz="0" w:space="0" w:color="auto"/>
        <w:left w:val="none" w:sz="0" w:space="0" w:color="auto"/>
        <w:bottom w:val="none" w:sz="0" w:space="0" w:color="auto"/>
        <w:right w:val="none" w:sz="0" w:space="0" w:color="auto"/>
      </w:divBdr>
    </w:div>
    <w:div w:id="1023168368">
      <w:bodyDiv w:val="1"/>
      <w:marLeft w:val="0"/>
      <w:marRight w:val="0"/>
      <w:marTop w:val="0"/>
      <w:marBottom w:val="0"/>
      <w:divBdr>
        <w:top w:val="none" w:sz="0" w:space="0" w:color="auto"/>
        <w:left w:val="none" w:sz="0" w:space="0" w:color="auto"/>
        <w:bottom w:val="none" w:sz="0" w:space="0" w:color="auto"/>
        <w:right w:val="none" w:sz="0" w:space="0" w:color="auto"/>
      </w:divBdr>
    </w:div>
    <w:div w:id="1159231235">
      <w:bodyDiv w:val="1"/>
      <w:marLeft w:val="0"/>
      <w:marRight w:val="0"/>
      <w:marTop w:val="0"/>
      <w:marBottom w:val="0"/>
      <w:divBdr>
        <w:top w:val="none" w:sz="0" w:space="0" w:color="auto"/>
        <w:left w:val="none" w:sz="0" w:space="0" w:color="auto"/>
        <w:bottom w:val="none" w:sz="0" w:space="0" w:color="auto"/>
        <w:right w:val="none" w:sz="0" w:space="0" w:color="auto"/>
      </w:divBdr>
    </w:div>
    <w:div w:id="1181507818">
      <w:bodyDiv w:val="1"/>
      <w:marLeft w:val="0"/>
      <w:marRight w:val="0"/>
      <w:marTop w:val="0"/>
      <w:marBottom w:val="0"/>
      <w:divBdr>
        <w:top w:val="none" w:sz="0" w:space="0" w:color="auto"/>
        <w:left w:val="none" w:sz="0" w:space="0" w:color="auto"/>
        <w:bottom w:val="none" w:sz="0" w:space="0" w:color="auto"/>
        <w:right w:val="none" w:sz="0" w:space="0" w:color="auto"/>
      </w:divBdr>
    </w:div>
    <w:div w:id="1295989131">
      <w:bodyDiv w:val="1"/>
      <w:marLeft w:val="0"/>
      <w:marRight w:val="0"/>
      <w:marTop w:val="0"/>
      <w:marBottom w:val="0"/>
      <w:divBdr>
        <w:top w:val="none" w:sz="0" w:space="0" w:color="auto"/>
        <w:left w:val="none" w:sz="0" w:space="0" w:color="auto"/>
        <w:bottom w:val="none" w:sz="0" w:space="0" w:color="auto"/>
        <w:right w:val="none" w:sz="0" w:space="0" w:color="auto"/>
      </w:divBdr>
    </w:div>
    <w:div w:id="1313873690">
      <w:bodyDiv w:val="1"/>
      <w:marLeft w:val="0"/>
      <w:marRight w:val="0"/>
      <w:marTop w:val="0"/>
      <w:marBottom w:val="0"/>
      <w:divBdr>
        <w:top w:val="none" w:sz="0" w:space="0" w:color="auto"/>
        <w:left w:val="none" w:sz="0" w:space="0" w:color="auto"/>
        <w:bottom w:val="none" w:sz="0" w:space="0" w:color="auto"/>
        <w:right w:val="none" w:sz="0" w:space="0" w:color="auto"/>
      </w:divBdr>
    </w:div>
    <w:div w:id="1465345794">
      <w:bodyDiv w:val="1"/>
      <w:marLeft w:val="0"/>
      <w:marRight w:val="0"/>
      <w:marTop w:val="0"/>
      <w:marBottom w:val="0"/>
      <w:divBdr>
        <w:top w:val="none" w:sz="0" w:space="0" w:color="auto"/>
        <w:left w:val="none" w:sz="0" w:space="0" w:color="auto"/>
        <w:bottom w:val="none" w:sz="0" w:space="0" w:color="auto"/>
        <w:right w:val="none" w:sz="0" w:space="0" w:color="auto"/>
      </w:divBdr>
    </w:div>
    <w:div w:id="1621036192">
      <w:bodyDiv w:val="1"/>
      <w:marLeft w:val="0"/>
      <w:marRight w:val="0"/>
      <w:marTop w:val="0"/>
      <w:marBottom w:val="0"/>
      <w:divBdr>
        <w:top w:val="none" w:sz="0" w:space="0" w:color="auto"/>
        <w:left w:val="none" w:sz="0" w:space="0" w:color="auto"/>
        <w:bottom w:val="none" w:sz="0" w:space="0" w:color="auto"/>
        <w:right w:val="none" w:sz="0" w:space="0" w:color="auto"/>
      </w:divBdr>
    </w:div>
    <w:div w:id="1772973889">
      <w:bodyDiv w:val="1"/>
      <w:marLeft w:val="0"/>
      <w:marRight w:val="0"/>
      <w:marTop w:val="0"/>
      <w:marBottom w:val="0"/>
      <w:divBdr>
        <w:top w:val="none" w:sz="0" w:space="0" w:color="auto"/>
        <w:left w:val="none" w:sz="0" w:space="0" w:color="auto"/>
        <w:bottom w:val="none" w:sz="0" w:space="0" w:color="auto"/>
        <w:right w:val="none" w:sz="0" w:space="0" w:color="auto"/>
      </w:divBdr>
    </w:div>
    <w:div w:id="1788547141">
      <w:bodyDiv w:val="1"/>
      <w:marLeft w:val="0"/>
      <w:marRight w:val="0"/>
      <w:marTop w:val="0"/>
      <w:marBottom w:val="0"/>
      <w:divBdr>
        <w:top w:val="none" w:sz="0" w:space="0" w:color="auto"/>
        <w:left w:val="none" w:sz="0" w:space="0" w:color="auto"/>
        <w:bottom w:val="none" w:sz="0" w:space="0" w:color="auto"/>
        <w:right w:val="none" w:sz="0" w:space="0" w:color="auto"/>
      </w:divBdr>
    </w:div>
    <w:div w:id="1841889861">
      <w:bodyDiv w:val="1"/>
      <w:marLeft w:val="0"/>
      <w:marRight w:val="0"/>
      <w:marTop w:val="0"/>
      <w:marBottom w:val="0"/>
      <w:divBdr>
        <w:top w:val="none" w:sz="0" w:space="0" w:color="auto"/>
        <w:left w:val="none" w:sz="0" w:space="0" w:color="auto"/>
        <w:bottom w:val="none" w:sz="0" w:space="0" w:color="auto"/>
        <w:right w:val="none" w:sz="0" w:space="0" w:color="auto"/>
      </w:divBdr>
    </w:div>
    <w:div w:id="1875651768">
      <w:bodyDiv w:val="1"/>
      <w:marLeft w:val="0"/>
      <w:marRight w:val="0"/>
      <w:marTop w:val="0"/>
      <w:marBottom w:val="0"/>
      <w:divBdr>
        <w:top w:val="none" w:sz="0" w:space="0" w:color="auto"/>
        <w:left w:val="none" w:sz="0" w:space="0" w:color="auto"/>
        <w:bottom w:val="none" w:sz="0" w:space="0" w:color="auto"/>
        <w:right w:val="none" w:sz="0" w:space="0" w:color="auto"/>
      </w:divBdr>
    </w:div>
    <w:div w:id="1887982851">
      <w:bodyDiv w:val="1"/>
      <w:marLeft w:val="0"/>
      <w:marRight w:val="0"/>
      <w:marTop w:val="0"/>
      <w:marBottom w:val="0"/>
      <w:divBdr>
        <w:top w:val="none" w:sz="0" w:space="0" w:color="auto"/>
        <w:left w:val="none" w:sz="0" w:space="0" w:color="auto"/>
        <w:bottom w:val="none" w:sz="0" w:space="0" w:color="auto"/>
        <w:right w:val="none" w:sz="0" w:space="0" w:color="auto"/>
      </w:divBdr>
    </w:div>
    <w:div w:id="1902523018">
      <w:bodyDiv w:val="1"/>
      <w:marLeft w:val="0"/>
      <w:marRight w:val="0"/>
      <w:marTop w:val="0"/>
      <w:marBottom w:val="0"/>
      <w:divBdr>
        <w:top w:val="none" w:sz="0" w:space="0" w:color="auto"/>
        <w:left w:val="none" w:sz="0" w:space="0" w:color="auto"/>
        <w:bottom w:val="none" w:sz="0" w:space="0" w:color="auto"/>
        <w:right w:val="none" w:sz="0" w:space="0" w:color="auto"/>
      </w:divBdr>
    </w:div>
    <w:div w:id="1922787989">
      <w:bodyDiv w:val="1"/>
      <w:marLeft w:val="0"/>
      <w:marRight w:val="0"/>
      <w:marTop w:val="0"/>
      <w:marBottom w:val="0"/>
      <w:divBdr>
        <w:top w:val="none" w:sz="0" w:space="0" w:color="auto"/>
        <w:left w:val="none" w:sz="0" w:space="0" w:color="auto"/>
        <w:bottom w:val="none" w:sz="0" w:space="0" w:color="auto"/>
        <w:right w:val="none" w:sz="0" w:space="0" w:color="auto"/>
      </w:divBdr>
    </w:div>
    <w:div w:id="2086023553">
      <w:bodyDiv w:val="1"/>
      <w:marLeft w:val="0"/>
      <w:marRight w:val="0"/>
      <w:marTop w:val="0"/>
      <w:marBottom w:val="0"/>
      <w:divBdr>
        <w:top w:val="none" w:sz="0" w:space="0" w:color="auto"/>
        <w:left w:val="none" w:sz="0" w:space="0" w:color="auto"/>
        <w:bottom w:val="none" w:sz="0" w:space="0" w:color="auto"/>
        <w:right w:val="none" w:sz="0" w:space="0" w:color="auto"/>
      </w:divBdr>
    </w:div>
    <w:div w:id="209932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md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gracija.lt/index.php?-214015156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1F8E-E0DA-47E1-8C50-50FA37A3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88489</Words>
  <Characters>50440</Characters>
  <Application>Microsoft Office Word</Application>
  <DocSecurity>0</DocSecurity>
  <Lines>420</Lines>
  <Paragraphs>277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Eigilė Čygaitė</dc:creator>
  <cp:keywords/>
  <dc:description/>
  <cp:lastModifiedBy>Eigilė Čygaitė</cp:lastModifiedBy>
  <cp:revision>22</cp:revision>
  <dcterms:created xsi:type="dcterms:W3CDTF">2018-01-17T13:43:00Z</dcterms:created>
  <dcterms:modified xsi:type="dcterms:W3CDTF">2018-01-19T06:17:00Z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