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FC" w:rsidRDefault="000A4EFC" w:rsidP="000A4EFC">
      <w:pPr>
        <w:rPr>
          <w:b/>
          <w:bCs/>
          <w:sz w:val="32"/>
          <w:szCs w:val="32"/>
          <w:lang w:val="en-GB"/>
        </w:rPr>
      </w:pPr>
      <w:r w:rsidRPr="000A4EFC">
        <w:rPr>
          <w:b/>
          <w:bCs/>
          <w:sz w:val="32"/>
          <w:szCs w:val="32"/>
          <w:lang w:val="en-GB"/>
        </w:rPr>
        <w:t>Sweden - promoting equal economic opportunities for women and men</w:t>
      </w:r>
    </w:p>
    <w:p w:rsidR="006731FD" w:rsidRPr="006731FD" w:rsidRDefault="006731FD" w:rsidP="000A4EFC">
      <w:pPr>
        <w:rPr>
          <w:sz w:val="32"/>
          <w:szCs w:val="32"/>
          <w:lang w:val="en-GB"/>
        </w:rPr>
      </w:pPr>
      <w:r w:rsidRPr="006731FD">
        <w:rPr>
          <w:b/>
          <w:bCs/>
          <w:sz w:val="32"/>
          <w:szCs w:val="32"/>
          <w:lang w:val="en-GB"/>
        </w:rPr>
        <w:t xml:space="preserve">By </w:t>
      </w:r>
      <w:r w:rsidRPr="006731FD">
        <w:rPr>
          <w:b/>
          <w:sz w:val="32"/>
          <w:szCs w:val="32"/>
          <w:u w:val="single"/>
        </w:rPr>
        <w:t>Amb</w:t>
      </w:r>
      <w:r w:rsidRPr="006731FD">
        <w:rPr>
          <w:b/>
          <w:sz w:val="32"/>
          <w:szCs w:val="32"/>
          <w:u w:val="single"/>
        </w:rPr>
        <w:t>. Cecilia Ruthstrom-Ruin, Deputy-Director General, Head of Department, MFA of Sweden, Departament for Asia and the Pacific,</w:t>
      </w:r>
      <w:bookmarkStart w:id="0" w:name="_GoBack"/>
      <w:bookmarkEnd w:id="0"/>
    </w:p>
    <w:p w:rsidR="006D09A9" w:rsidRDefault="002B45BE" w:rsidP="000A4EFC">
      <w:pPr>
        <w:spacing w:line="480" w:lineRule="auto"/>
        <w:rPr>
          <w:sz w:val="28"/>
          <w:szCs w:val="28"/>
          <w:lang w:val="en-GB"/>
        </w:rPr>
      </w:pPr>
      <w:r w:rsidRPr="000A4EFC">
        <w:rPr>
          <w:sz w:val="28"/>
          <w:szCs w:val="28"/>
          <w:lang w:val="en-GB"/>
        </w:rPr>
        <w:t>I am honoured to address this ASEM Conference o</w:t>
      </w:r>
      <w:r w:rsidR="006D09A9">
        <w:rPr>
          <w:sz w:val="28"/>
          <w:szCs w:val="28"/>
          <w:lang w:val="en-GB"/>
        </w:rPr>
        <w:t>n Women’s Economic Empowerment and wish to thank Lithuania for taking this important initiative, as well as India for stepping forward offering to host next event in the process.</w:t>
      </w:r>
    </w:p>
    <w:p w:rsidR="007E2EF8" w:rsidRDefault="007E2EF8" w:rsidP="000A4EFC">
      <w:pPr>
        <w:spacing w:line="480" w:lineRule="auto"/>
        <w:rPr>
          <w:sz w:val="28"/>
          <w:szCs w:val="28"/>
          <w:lang w:val="en-GB"/>
        </w:rPr>
      </w:pPr>
      <w:r>
        <w:rPr>
          <w:sz w:val="28"/>
          <w:szCs w:val="28"/>
          <w:lang w:val="en-GB"/>
        </w:rPr>
        <w:t>Ladies and gentlemen,</w:t>
      </w:r>
    </w:p>
    <w:p w:rsidR="00727B2B" w:rsidRDefault="00727B2B" w:rsidP="00DD0F32">
      <w:pPr>
        <w:spacing w:line="480" w:lineRule="auto"/>
        <w:rPr>
          <w:sz w:val="28"/>
          <w:szCs w:val="28"/>
          <w:lang w:val="en-GB"/>
        </w:rPr>
      </w:pPr>
      <w:r>
        <w:rPr>
          <w:sz w:val="28"/>
          <w:szCs w:val="28"/>
          <w:lang w:val="en-GB"/>
        </w:rPr>
        <w:t>Let me begin by saying how</w:t>
      </w:r>
      <w:r w:rsidR="007E2EF8">
        <w:rPr>
          <w:sz w:val="28"/>
          <w:szCs w:val="28"/>
          <w:lang w:val="en-GB"/>
        </w:rPr>
        <w:t xml:space="preserve"> proud</w:t>
      </w:r>
      <w:r>
        <w:rPr>
          <w:sz w:val="28"/>
          <w:szCs w:val="28"/>
          <w:lang w:val="en-GB"/>
        </w:rPr>
        <w:t xml:space="preserve"> I am </w:t>
      </w:r>
      <w:r w:rsidR="007E2EF8">
        <w:rPr>
          <w:sz w:val="28"/>
          <w:szCs w:val="28"/>
          <w:lang w:val="en-GB"/>
        </w:rPr>
        <w:t xml:space="preserve">that </w:t>
      </w:r>
      <w:r w:rsidR="006D09A9">
        <w:rPr>
          <w:sz w:val="28"/>
          <w:szCs w:val="28"/>
          <w:lang w:val="en-GB"/>
        </w:rPr>
        <w:t>Sweden</w:t>
      </w:r>
      <w:r w:rsidR="009F05EE">
        <w:rPr>
          <w:sz w:val="28"/>
          <w:szCs w:val="28"/>
          <w:lang w:val="en-GB"/>
        </w:rPr>
        <w:t xml:space="preserve"> has a</w:t>
      </w:r>
      <w:r w:rsidR="006D09A9">
        <w:rPr>
          <w:sz w:val="28"/>
          <w:szCs w:val="28"/>
          <w:lang w:val="en-GB"/>
        </w:rPr>
        <w:t xml:space="preserve"> feminist government – </w:t>
      </w:r>
      <w:r w:rsidR="009F05EE">
        <w:rPr>
          <w:sz w:val="28"/>
          <w:szCs w:val="28"/>
          <w:lang w:val="en-GB"/>
        </w:rPr>
        <w:t xml:space="preserve">yes, </w:t>
      </w:r>
      <w:r w:rsidR="006D09A9">
        <w:rPr>
          <w:sz w:val="28"/>
          <w:szCs w:val="28"/>
          <w:lang w:val="en-GB"/>
        </w:rPr>
        <w:t>this is</w:t>
      </w:r>
      <w:r>
        <w:rPr>
          <w:sz w:val="28"/>
          <w:szCs w:val="28"/>
          <w:lang w:val="en-GB"/>
        </w:rPr>
        <w:t xml:space="preserve"> indeed</w:t>
      </w:r>
      <w:r w:rsidR="006D09A9">
        <w:rPr>
          <w:sz w:val="28"/>
          <w:szCs w:val="28"/>
          <w:lang w:val="en-GB"/>
        </w:rPr>
        <w:t xml:space="preserve"> how the government officially presents itself</w:t>
      </w:r>
      <w:r w:rsidR="009F05EE">
        <w:rPr>
          <w:sz w:val="28"/>
          <w:szCs w:val="28"/>
          <w:lang w:val="en-GB"/>
        </w:rPr>
        <w:t>.</w:t>
      </w:r>
      <w:r w:rsidR="007E2EF8">
        <w:rPr>
          <w:sz w:val="28"/>
          <w:szCs w:val="28"/>
          <w:lang w:val="en-GB"/>
        </w:rPr>
        <w:t xml:space="preserve"> </w:t>
      </w:r>
      <w:r>
        <w:rPr>
          <w:sz w:val="28"/>
          <w:szCs w:val="28"/>
          <w:lang w:val="en-GB"/>
        </w:rPr>
        <w:t xml:space="preserve">The cabinet is gender equal, with men occupying half of the cabinet post and women the other half. </w:t>
      </w:r>
      <w:r w:rsidR="007E2EF8">
        <w:rPr>
          <w:sz w:val="28"/>
          <w:szCs w:val="28"/>
          <w:lang w:val="en-GB"/>
        </w:rPr>
        <w:t xml:space="preserve">All </w:t>
      </w:r>
      <w:r w:rsidR="00DD0F32">
        <w:rPr>
          <w:sz w:val="28"/>
          <w:szCs w:val="28"/>
          <w:lang w:val="en-GB"/>
        </w:rPr>
        <w:t>government officials are</w:t>
      </w:r>
      <w:r w:rsidR="009F05EE">
        <w:rPr>
          <w:sz w:val="28"/>
          <w:szCs w:val="28"/>
          <w:lang w:val="en-GB"/>
        </w:rPr>
        <w:t xml:space="preserve"> tasked to contribute to formulating and implementi</w:t>
      </w:r>
      <w:r w:rsidR="007E2EF8">
        <w:rPr>
          <w:sz w:val="28"/>
          <w:szCs w:val="28"/>
          <w:lang w:val="en-GB"/>
        </w:rPr>
        <w:t>ng feminist policies</w:t>
      </w:r>
      <w:r w:rsidR="009F05EE">
        <w:rPr>
          <w:sz w:val="28"/>
          <w:szCs w:val="28"/>
          <w:lang w:val="en-GB"/>
        </w:rPr>
        <w:t xml:space="preserve"> and gender equality is actively mainstreamed in </w:t>
      </w:r>
      <w:r w:rsidR="007E2EF8">
        <w:rPr>
          <w:sz w:val="28"/>
          <w:szCs w:val="28"/>
          <w:lang w:val="en-GB"/>
        </w:rPr>
        <w:t>every policy area</w:t>
      </w:r>
      <w:r w:rsidR="009F05EE">
        <w:rPr>
          <w:sz w:val="28"/>
          <w:szCs w:val="28"/>
          <w:lang w:val="en-GB"/>
        </w:rPr>
        <w:t>. Thus, the Swedish Ministry for Foreign Affairs which I represent is pursuing a feminist foreign policy with clear</w:t>
      </w:r>
      <w:r>
        <w:rPr>
          <w:sz w:val="28"/>
          <w:szCs w:val="28"/>
          <w:lang w:val="en-GB"/>
        </w:rPr>
        <w:t>ly defined goals and priorities</w:t>
      </w:r>
      <w:r w:rsidR="009F05EE">
        <w:rPr>
          <w:sz w:val="28"/>
          <w:szCs w:val="28"/>
          <w:lang w:val="en-GB"/>
        </w:rPr>
        <w:t xml:space="preserve"> and a concrete action plan for the work. </w:t>
      </w:r>
    </w:p>
    <w:p w:rsidR="00DD0F32" w:rsidRPr="000A4EFC" w:rsidRDefault="00DD0F32" w:rsidP="00DD0F32">
      <w:pPr>
        <w:spacing w:line="480" w:lineRule="auto"/>
        <w:rPr>
          <w:sz w:val="28"/>
          <w:szCs w:val="28"/>
          <w:lang w:val="en-GB"/>
        </w:rPr>
      </w:pPr>
      <w:r>
        <w:rPr>
          <w:sz w:val="28"/>
          <w:szCs w:val="28"/>
          <w:lang w:val="en-GB"/>
        </w:rPr>
        <w:t>Sweden</w:t>
      </w:r>
      <w:r w:rsidRPr="000A4EFC">
        <w:rPr>
          <w:sz w:val="28"/>
          <w:szCs w:val="28"/>
          <w:lang w:val="en-GB"/>
        </w:rPr>
        <w:t xml:space="preserve"> believe</w:t>
      </w:r>
      <w:r>
        <w:rPr>
          <w:sz w:val="28"/>
          <w:szCs w:val="28"/>
          <w:lang w:val="en-GB"/>
        </w:rPr>
        <w:t>s</w:t>
      </w:r>
      <w:r w:rsidRPr="000A4EFC">
        <w:rPr>
          <w:sz w:val="28"/>
          <w:szCs w:val="28"/>
          <w:lang w:val="en-GB"/>
        </w:rPr>
        <w:t xml:space="preserve"> that women and men must have the same opportunities for economic independence. Women’s economic </w:t>
      </w:r>
      <w:r w:rsidRPr="000A4EFC">
        <w:rPr>
          <w:sz w:val="28"/>
          <w:szCs w:val="28"/>
          <w:lang w:val="en-GB"/>
        </w:rPr>
        <w:lastRenderedPageBreak/>
        <w:t xml:space="preserve">empowerment is a matter of human rights and a precondition for gender equality. It is crucial for sustainable economic growth and thus economically smart. </w:t>
      </w:r>
    </w:p>
    <w:p w:rsidR="00AA703B" w:rsidRDefault="00DD0F32" w:rsidP="000A4EFC">
      <w:pPr>
        <w:spacing w:line="480" w:lineRule="auto"/>
        <w:rPr>
          <w:sz w:val="28"/>
          <w:szCs w:val="28"/>
          <w:lang w:val="en-GB"/>
        </w:rPr>
      </w:pPr>
      <w:r>
        <w:rPr>
          <w:sz w:val="28"/>
          <w:szCs w:val="28"/>
          <w:lang w:val="en-GB"/>
        </w:rPr>
        <w:t>Sweden has</w:t>
      </w:r>
      <w:r w:rsidR="00AA703B">
        <w:rPr>
          <w:sz w:val="28"/>
          <w:szCs w:val="28"/>
          <w:lang w:val="en-GB"/>
        </w:rPr>
        <w:t xml:space="preserve"> focussed on a</w:t>
      </w:r>
      <w:r>
        <w:rPr>
          <w:sz w:val="28"/>
          <w:szCs w:val="28"/>
          <w:lang w:val="en-GB"/>
        </w:rPr>
        <w:t>chieving gender equality for a long time</w:t>
      </w:r>
      <w:r w:rsidR="00727B2B">
        <w:rPr>
          <w:sz w:val="28"/>
          <w:szCs w:val="28"/>
          <w:lang w:val="en-GB"/>
        </w:rPr>
        <w:t xml:space="preserve"> already</w:t>
      </w:r>
      <w:r>
        <w:rPr>
          <w:sz w:val="28"/>
          <w:szCs w:val="28"/>
          <w:lang w:val="en-GB"/>
        </w:rPr>
        <w:t xml:space="preserve"> and</w:t>
      </w:r>
      <w:r w:rsidR="00AA703B">
        <w:rPr>
          <w:sz w:val="28"/>
          <w:szCs w:val="28"/>
          <w:lang w:val="en-GB"/>
        </w:rPr>
        <w:t xml:space="preserve"> </w:t>
      </w:r>
      <w:r>
        <w:rPr>
          <w:sz w:val="28"/>
          <w:szCs w:val="28"/>
          <w:lang w:val="en-GB"/>
        </w:rPr>
        <w:t xml:space="preserve">significant </w:t>
      </w:r>
      <w:r w:rsidR="00AA703B">
        <w:rPr>
          <w:sz w:val="28"/>
          <w:szCs w:val="28"/>
          <w:lang w:val="en-GB"/>
        </w:rPr>
        <w:t xml:space="preserve">progress has been made. </w:t>
      </w:r>
      <w:r w:rsidR="00AA703B" w:rsidRPr="000A4EFC">
        <w:rPr>
          <w:sz w:val="28"/>
          <w:szCs w:val="28"/>
          <w:lang w:val="en-GB"/>
        </w:rPr>
        <w:t>The World Economic Forum introduced The Global Gender Gap Index in 2006 as a framework for capturing the magnitude of gender-based disparities and tracking their progress over time. Since the launch of the global index, Sweden has not ranked lower than 4</w:t>
      </w:r>
      <w:r w:rsidR="00AA703B" w:rsidRPr="000A4EFC">
        <w:rPr>
          <w:sz w:val="28"/>
          <w:szCs w:val="28"/>
          <w:vertAlign w:val="superscript"/>
          <w:lang w:val="en-GB"/>
        </w:rPr>
        <w:t xml:space="preserve">th </w:t>
      </w:r>
      <w:r w:rsidR="00AA703B" w:rsidRPr="000A4EFC">
        <w:rPr>
          <w:sz w:val="28"/>
          <w:szCs w:val="28"/>
          <w:lang w:val="en-GB"/>
        </w:rPr>
        <w:t>out of some 140 countries.</w:t>
      </w:r>
      <w:r w:rsidR="00EB13AE">
        <w:rPr>
          <w:sz w:val="28"/>
          <w:szCs w:val="28"/>
          <w:lang w:val="en-GB"/>
        </w:rPr>
        <w:t xml:space="preserve"> Still, a lot of work remains also in Sweden before reaching the goal.</w:t>
      </w:r>
    </w:p>
    <w:p w:rsidR="000E52FD" w:rsidRDefault="000E52FD" w:rsidP="000A4EFC">
      <w:pPr>
        <w:spacing w:line="480" w:lineRule="auto"/>
        <w:rPr>
          <w:sz w:val="28"/>
          <w:szCs w:val="28"/>
          <w:lang w:val="en-GB"/>
        </w:rPr>
      </w:pPr>
      <w:r>
        <w:rPr>
          <w:sz w:val="28"/>
          <w:szCs w:val="28"/>
          <w:lang w:val="en-GB"/>
        </w:rPr>
        <w:t xml:space="preserve">Ladies and gentlemen, </w:t>
      </w:r>
    </w:p>
    <w:p w:rsidR="00432DD0" w:rsidRDefault="00DD0F32" w:rsidP="000A4EFC">
      <w:pPr>
        <w:spacing w:line="480" w:lineRule="auto"/>
        <w:rPr>
          <w:sz w:val="28"/>
          <w:szCs w:val="28"/>
          <w:lang w:val="en-GB"/>
        </w:rPr>
      </w:pPr>
      <w:r>
        <w:rPr>
          <w:sz w:val="28"/>
          <w:szCs w:val="28"/>
          <w:lang w:val="en-GB"/>
        </w:rPr>
        <w:t xml:space="preserve">Against this background, </w:t>
      </w:r>
      <w:r w:rsidR="000E52FD">
        <w:rPr>
          <w:sz w:val="28"/>
          <w:szCs w:val="28"/>
          <w:lang w:val="en-GB"/>
        </w:rPr>
        <w:t>Sweden is</w:t>
      </w:r>
      <w:r>
        <w:rPr>
          <w:sz w:val="28"/>
          <w:szCs w:val="28"/>
          <w:lang w:val="en-GB"/>
        </w:rPr>
        <w:t xml:space="preserve"> particularly</w:t>
      </w:r>
      <w:r w:rsidR="000E52FD">
        <w:rPr>
          <w:sz w:val="28"/>
          <w:szCs w:val="28"/>
          <w:lang w:val="en-GB"/>
        </w:rPr>
        <w:t xml:space="preserve"> glad to be among the co-sponsors of the ASEM initiative on women’s economic empowerment. The </w:t>
      </w:r>
      <w:r w:rsidR="007E2EF8">
        <w:rPr>
          <w:sz w:val="28"/>
          <w:szCs w:val="28"/>
          <w:lang w:val="en-GB"/>
        </w:rPr>
        <w:t xml:space="preserve">presentations at this conference cover </w:t>
      </w:r>
      <w:r w:rsidR="000E52FD">
        <w:rPr>
          <w:sz w:val="28"/>
          <w:szCs w:val="28"/>
          <w:lang w:val="en-GB"/>
        </w:rPr>
        <w:t xml:space="preserve">many </w:t>
      </w:r>
      <w:r w:rsidR="002B45BE" w:rsidRPr="000A4EFC">
        <w:rPr>
          <w:sz w:val="28"/>
          <w:szCs w:val="28"/>
          <w:lang w:val="en-GB"/>
        </w:rPr>
        <w:t>different</w:t>
      </w:r>
      <w:r w:rsidR="007E2EF8">
        <w:rPr>
          <w:sz w:val="28"/>
          <w:szCs w:val="28"/>
          <w:lang w:val="en-GB"/>
        </w:rPr>
        <w:t xml:space="preserve"> issues – obstacles and problems as well as solutions, successes as well as f</w:t>
      </w:r>
      <w:r w:rsidR="002B45BE" w:rsidRPr="000A4EFC">
        <w:rPr>
          <w:sz w:val="28"/>
          <w:szCs w:val="28"/>
          <w:lang w:val="en-GB"/>
        </w:rPr>
        <w:t>ailures</w:t>
      </w:r>
      <w:r w:rsidR="007E2EF8">
        <w:rPr>
          <w:sz w:val="28"/>
          <w:szCs w:val="28"/>
          <w:lang w:val="en-GB"/>
        </w:rPr>
        <w:t>,</w:t>
      </w:r>
      <w:r w:rsidR="002B45BE" w:rsidRPr="000A4EFC">
        <w:rPr>
          <w:sz w:val="28"/>
          <w:szCs w:val="28"/>
          <w:lang w:val="en-GB"/>
        </w:rPr>
        <w:t xml:space="preserve"> </w:t>
      </w:r>
      <w:r w:rsidR="007E2EF8">
        <w:rPr>
          <w:sz w:val="28"/>
          <w:szCs w:val="28"/>
          <w:lang w:val="en-GB"/>
        </w:rPr>
        <w:t xml:space="preserve">all </w:t>
      </w:r>
      <w:r w:rsidR="00FE1C8B" w:rsidRPr="000A4EFC">
        <w:rPr>
          <w:sz w:val="28"/>
          <w:szCs w:val="28"/>
          <w:lang w:val="en-GB"/>
        </w:rPr>
        <w:t xml:space="preserve">related to </w:t>
      </w:r>
      <w:r w:rsidR="002B45BE" w:rsidRPr="000A4EFC">
        <w:rPr>
          <w:sz w:val="28"/>
          <w:szCs w:val="28"/>
          <w:lang w:val="en-GB"/>
        </w:rPr>
        <w:t>women’s economic empowerment</w:t>
      </w:r>
      <w:r w:rsidR="007E2EF8">
        <w:rPr>
          <w:sz w:val="28"/>
          <w:szCs w:val="28"/>
          <w:lang w:val="en-GB"/>
        </w:rPr>
        <w:t xml:space="preserve"> and together demonstrating the complexity of the topic. </w:t>
      </w:r>
      <w:r w:rsidR="000E52FD">
        <w:rPr>
          <w:sz w:val="28"/>
          <w:szCs w:val="28"/>
          <w:lang w:val="en-GB"/>
        </w:rPr>
        <w:t xml:space="preserve">The discussions remind </w:t>
      </w:r>
      <w:r w:rsidR="005F02DC">
        <w:rPr>
          <w:sz w:val="28"/>
          <w:szCs w:val="28"/>
          <w:lang w:val="en-GB"/>
        </w:rPr>
        <w:t>us that any a</w:t>
      </w:r>
      <w:r w:rsidR="00FE1C8B" w:rsidRPr="000A4EFC">
        <w:rPr>
          <w:sz w:val="28"/>
          <w:szCs w:val="28"/>
          <w:lang w:val="en-GB"/>
        </w:rPr>
        <w:t xml:space="preserve">ttempt to tackle these issues must </w:t>
      </w:r>
      <w:r w:rsidR="00EF78B1" w:rsidRPr="000A4EFC">
        <w:rPr>
          <w:sz w:val="28"/>
          <w:szCs w:val="28"/>
          <w:lang w:val="en-GB"/>
        </w:rPr>
        <w:t xml:space="preserve">feature a </w:t>
      </w:r>
      <w:r w:rsidR="00FE1C8B" w:rsidRPr="000A4EFC">
        <w:rPr>
          <w:sz w:val="28"/>
          <w:szCs w:val="28"/>
          <w:lang w:val="en-GB"/>
        </w:rPr>
        <w:t>multipronged</w:t>
      </w:r>
      <w:r w:rsidR="00FE7493" w:rsidRPr="000A4EFC">
        <w:rPr>
          <w:sz w:val="28"/>
          <w:szCs w:val="28"/>
          <w:lang w:val="en-GB"/>
        </w:rPr>
        <w:t xml:space="preserve"> approach</w:t>
      </w:r>
      <w:r w:rsidR="00FE1C8B" w:rsidRPr="000A4EFC">
        <w:rPr>
          <w:sz w:val="28"/>
          <w:szCs w:val="28"/>
          <w:lang w:val="en-GB"/>
        </w:rPr>
        <w:t xml:space="preserve"> and </w:t>
      </w:r>
      <w:r w:rsidR="00EF78B1" w:rsidRPr="000A4EFC">
        <w:rPr>
          <w:sz w:val="28"/>
          <w:szCs w:val="28"/>
          <w:lang w:val="en-GB"/>
        </w:rPr>
        <w:t xml:space="preserve">be </w:t>
      </w:r>
      <w:r w:rsidR="00FE1C8B" w:rsidRPr="000A4EFC">
        <w:rPr>
          <w:sz w:val="28"/>
          <w:szCs w:val="28"/>
          <w:lang w:val="en-GB"/>
        </w:rPr>
        <w:t>custom designed to eac</w:t>
      </w:r>
      <w:r w:rsidR="005F02DC">
        <w:rPr>
          <w:sz w:val="28"/>
          <w:szCs w:val="28"/>
          <w:lang w:val="en-GB"/>
        </w:rPr>
        <w:t xml:space="preserve">h individual country. </w:t>
      </w:r>
      <w:r w:rsidR="00EB13AE">
        <w:rPr>
          <w:sz w:val="28"/>
          <w:szCs w:val="28"/>
          <w:lang w:val="en-GB"/>
        </w:rPr>
        <w:t>T</w:t>
      </w:r>
      <w:r w:rsidR="005F02DC">
        <w:rPr>
          <w:sz w:val="28"/>
          <w:szCs w:val="28"/>
          <w:lang w:val="en-GB"/>
        </w:rPr>
        <w:t>here are</w:t>
      </w:r>
      <w:r w:rsidR="00EB13AE">
        <w:rPr>
          <w:sz w:val="28"/>
          <w:szCs w:val="28"/>
          <w:lang w:val="en-GB"/>
        </w:rPr>
        <w:t xml:space="preserve"> of course</w:t>
      </w:r>
      <w:r w:rsidR="005F02DC">
        <w:rPr>
          <w:sz w:val="28"/>
          <w:szCs w:val="28"/>
          <w:lang w:val="en-GB"/>
        </w:rPr>
        <w:t xml:space="preserve"> </w:t>
      </w:r>
      <w:r w:rsidR="00FE1C8B" w:rsidRPr="000A4EFC">
        <w:rPr>
          <w:sz w:val="28"/>
          <w:szCs w:val="28"/>
          <w:lang w:val="en-GB"/>
        </w:rPr>
        <w:lastRenderedPageBreak/>
        <w:t>common el</w:t>
      </w:r>
      <w:r w:rsidR="005F02DC">
        <w:rPr>
          <w:sz w:val="28"/>
          <w:szCs w:val="28"/>
          <w:lang w:val="en-GB"/>
        </w:rPr>
        <w:t>ements on which we can all</w:t>
      </w:r>
      <w:r w:rsidR="000E52FD">
        <w:rPr>
          <w:sz w:val="28"/>
          <w:szCs w:val="28"/>
          <w:lang w:val="en-GB"/>
        </w:rPr>
        <w:t xml:space="preserve"> easily</w:t>
      </w:r>
      <w:r w:rsidR="005F02DC">
        <w:rPr>
          <w:sz w:val="28"/>
          <w:szCs w:val="28"/>
          <w:lang w:val="en-GB"/>
        </w:rPr>
        <w:t xml:space="preserve"> agree: everywhere in the world women will have children</w:t>
      </w:r>
      <w:r w:rsidR="00FE1C8B" w:rsidRPr="000A4EFC">
        <w:rPr>
          <w:sz w:val="28"/>
          <w:szCs w:val="28"/>
          <w:lang w:val="en-GB"/>
        </w:rPr>
        <w:t xml:space="preserve">, </w:t>
      </w:r>
      <w:r w:rsidR="005F02DC">
        <w:rPr>
          <w:sz w:val="28"/>
          <w:szCs w:val="28"/>
          <w:lang w:val="en-GB"/>
        </w:rPr>
        <w:t xml:space="preserve">children will </w:t>
      </w:r>
      <w:r w:rsidR="000E52FD">
        <w:rPr>
          <w:sz w:val="28"/>
          <w:szCs w:val="28"/>
          <w:lang w:val="en-GB"/>
        </w:rPr>
        <w:t>need care wherever they grow up</w:t>
      </w:r>
      <w:r w:rsidR="005F02DC">
        <w:rPr>
          <w:sz w:val="28"/>
          <w:szCs w:val="28"/>
          <w:lang w:val="en-GB"/>
        </w:rPr>
        <w:t xml:space="preserve"> and in every country both men and women will get older and</w:t>
      </w:r>
      <w:r w:rsidR="000E52FD">
        <w:rPr>
          <w:sz w:val="28"/>
          <w:szCs w:val="28"/>
          <w:lang w:val="en-GB"/>
        </w:rPr>
        <w:t xml:space="preserve"> w</w:t>
      </w:r>
      <w:r w:rsidR="00EB13AE">
        <w:rPr>
          <w:sz w:val="28"/>
          <w:szCs w:val="28"/>
          <w:lang w:val="en-GB"/>
        </w:rPr>
        <w:t>ill need care at some point. W</w:t>
      </w:r>
      <w:r w:rsidR="005F02DC">
        <w:rPr>
          <w:sz w:val="28"/>
          <w:szCs w:val="28"/>
          <w:lang w:val="en-GB"/>
        </w:rPr>
        <w:t xml:space="preserve">hile only women can give birth to a child, </w:t>
      </w:r>
      <w:r w:rsidR="00EB13AE">
        <w:rPr>
          <w:sz w:val="28"/>
          <w:szCs w:val="28"/>
          <w:lang w:val="en-GB"/>
        </w:rPr>
        <w:t xml:space="preserve">I would argue that </w:t>
      </w:r>
      <w:r w:rsidR="005F02DC">
        <w:rPr>
          <w:sz w:val="28"/>
          <w:szCs w:val="28"/>
          <w:lang w:val="en-GB"/>
        </w:rPr>
        <w:t xml:space="preserve">the </w:t>
      </w:r>
      <w:r w:rsidR="00B71597" w:rsidRPr="000A4EFC">
        <w:rPr>
          <w:sz w:val="28"/>
          <w:szCs w:val="28"/>
          <w:lang w:val="en-GB"/>
        </w:rPr>
        <w:t>tasks</w:t>
      </w:r>
      <w:r w:rsidR="005F02DC">
        <w:rPr>
          <w:sz w:val="28"/>
          <w:szCs w:val="28"/>
          <w:lang w:val="en-GB"/>
        </w:rPr>
        <w:t xml:space="preserve"> related to caring</w:t>
      </w:r>
      <w:r w:rsidR="00B71597" w:rsidRPr="000A4EFC">
        <w:rPr>
          <w:sz w:val="28"/>
          <w:szCs w:val="28"/>
          <w:lang w:val="en-GB"/>
        </w:rPr>
        <w:t xml:space="preserve"> can in principle be equally shared by men and wome</w:t>
      </w:r>
      <w:r w:rsidR="00432DD0">
        <w:rPr>
          <w:sz w:val="28"/>
          <w:szCs w:val="28"/>
          <w:lang w:val="en-GB"/>
        </w:rPr>
        <w:t>n. But t</w:t>
      </w:r>
      <w:r w:rsidR="000E52FD">
        <w:rPr>
          <w:sz w:val="28"/>
          <w:szCs w:val="28"/>
          <w:lang w:val="en-GB"/>
        </w:rPr>
        <w:t xml:space="preserve">hat is </w:t>
      </w:r>
      <w:r w:rsidR="005F02DC">
        <w:rPr>
          <w:sz w:val="28"/>
          <w:szCs w:val="28"/>
          <w:lang w:val="en-GB"/>
        </w:rPr>
        <w:t>neither</w:t>
      </w:r>
      <w:r w:rsidR="00B71597" w:rsidRPr="000A4EFC">
        <w:rPr>
          <w:sz w:val="28"/>
          <w:szCs w:val="28"/>
          <w:lang w:val="en-GB"/>
        </w:rPr>
        <w:t xml:space="preserve"> </w:t>
      </w:r>
      <w:r w:rsidR="005F02DC">
        <w:rPr>
          <w:sz w:val="28"/>
          <w:szCs w:val="28"/>
          <w:lang w:val="en-GB"/>
        </w:rPr>
        <w:t xml:space="preserve">the practice nor </w:t>
      </w:r>
      <w:r w:rsidR="000E52FD">
        <w:rPr>
          <w:sz w:val="28"/>
          <w:szCs w:val="28"/>
          <w:lang w:val="en-GB"/>
        </w:rPr>
        <w:t xml:space="preserve">necessarily </w:t>
      </w:r>
      <w:r w:rsidR="005F02DC">
        <w:rPr>
          <w:sz w:val="28"/>
          <w:szCs w:val="28"/>
          <w:lang w:val="en-GB"/>
        </w:rPr>
        <w:t>the prevailing view in large parts of the world</w:t>
      </w:r>
      <w:r w:rsidR="00B71597" w:rsidRPr="000A4EFC">
        <w:rPr>
          <w:sz w:val="28"/>
          <w:szCs w:val="28"/>
          <w:lang w:val="en-GB"/>
        </w:rPr>
        <w:t xml:space="preserve">. </w:t>
      </w:r>
    </w:p>
    <w:p w:rsidR="003E3A08" w:rsidRPr="000A4EFC" w:rsidRDefault="000E52FD" w:rsidP="000A4EFC">
      <w:pPr>
        <w:spacing w:line="480" w:lineRule="auto"/>
        <w:rPr>
          <w:bCs/>
          <w:sz w:val="28"/>
          <w:szCs w:val="28"/>
          <w:lang w:val="en-GB"/>
        </w:rPr>
      </w:pPr>
      <w:r>
        <w:rPr>
          <w:sz w:val="28"/>
          <w:szCs w:val="28"/>
          <w:lang w:val="en-GB"/>
        </w:rPr>
        <w:t>In Sweden, equal sharing of care and unpaid work between men and women is an explicit political goal</w:t>
      </w:r>
      <w:r w:rsidR="0092050B">
        <w:rPr>
          <w:sz w:val="28"/>
          <w:szCs w:val="28"/>
          <w:lang w:val="en-GB"/>
        </w:rPr>
        <w:t xml:space="preserve"> and policy measures are in </w:t>
      </w:r>
      <w:r>
        <w:rPr>
          <w:sz w:val="28"/>
          <w:szCs w:val="28"/>
          <w:lang w:val="en-GB"/>
        </w:rPr>
        <w:t>place to that effect. An esse</w:t>
      </w:r>
      <w:r w:rsidR="00727B2B">
        <w:rPr>
          <w:sz w:val="28"/>
          <w:szCs w:val="28"/>
          <w:lang w:val="en-GB"/>
        </w:rPr>
        <w:t>ntial part is</w:t>
      </w:r>
      <w:r w:rsidR="00DD0F32">
        <w:rPr>
          <w:sz w:val="28"/>
          <w:szCs w:val="28"/>
          <w:lang w:val="en-GB"/>
        </w:rPr>
        <w:t xml:space="preserve"> the use of tax money to </w:t>
      </w:r>
      <w:r w:rsidRPr="000A4EFC">
        <w:rPr>
          <w:sz w:val="28"/>
          <w:szCs w:val="28"/>
          <w:lang w:val="en-GB"/>
        </w:rPr>
        <w:t xml:space="preserve">finance some of the work </w:t>
      </w:r>
      <w:r>
        <w:rPr>
          <w:sz w:val="28"/>
          <w:szCs w:val="28"/>
          <w:lang w:val="en-GB"/>
        </w:rPr>
        <w:t xml:space="preserve">that </w:t>
      </w:r>
      <w:r w:rsidR="00727B2B">
        <w:rPr>
          <w:sz w:val="28"/>
          <w:szCs w:val="28"/>
          <w:lang w:val="en-GB"/>
        </w:rPr>
        <w:t xml:space="preserve">in many places </w:t>
      </w:r>
      <w:r w:rsidR="00DD0F32">
        <w:rPr>
          <w:sz w:val="28"/>
          <w:szCs w:val="28"/>
          <w:lang w:val="en-GB"/>
        </w:rPr>
        <w:t>tends to</w:t>
      </w:r>
      <w:r w:rsidRPr="000A4EFC">
        <w:rPr>
          <w:sz w:val="28"/>
          <w:szCs w:val="28"/>
          <w:lang w:val="en-GB"/>
        </w:rPr>
        <w:t xml:space="preserve"> fall upon women and transfer that work to public services – primarily elderly care and childcare</w:t>
      </w:r>
      <w:r w:rsidR="00FE7493" w:rsidRPr="000A4EFC">
        <w:rPr>
          <w:sz w:val="28"/>
          <w:szCs w:val="28"/>
          <w:lang w:val="en-GB"/>
        </w:rPr>
        <w:t>. Combined with legislative measures and targeted incentives we have tried to create space for women to enter the labour market and have a career.</w:t>
      </w:r>
      <w:r w:rsidR="003E3A08" w:rsidRPr="000A4EFC">
        <w:rPr>
          <w:bCs/>
          <w:sz w:val="28"/>
          <w:szCs w:val="28"/>
          <w:lang w:val="en-GB"/>
        </w:rPr>
        <w:t xml:space="preserve"> A publicly financed welfare system requires that as many people as possible participate in the workforce, which in turn calls for a welfare system that supports such development. </w:t>
      </w:r>
    </w:p>
    <w:p w:rsidR="00CE5236" w:rsidRPr="000A4EFC" w:rsidRDefault="003E3A08" w:rsidP="000A4EFC">
      <w:pPr>
        <w:spacing w:line="480" w:lineRule="auto"/>
        <w:rPr>
          <w:sz w:val="28"/>
          <w:szCs w:val="28"/>
          <w:lang w:val="en-GB"/>
        </w:rPr>
      </w:pPr>
      <w:r w:rsidRPr="000A4EFC">
        <w:rPr>
          <w:sz w:val="28"/>
          <w:szCs w:val="28"/>
          <w:lang w:val="en-GB"/>
        </w:rPr>
        <w:t>W</w:t>
      </w:r>
      <w:r w:rsidR="00761CC1" w:rsidRPr="000A4EFC">
        <w:rPr>
          <w:sz w:val="28"/>
          <w:szCs w:val="28"/>
          <w:lang w:val="en-GB"/>
        </w:rPr>
        <w:t xml:space="preserve">e have </w:t>
      </w:r>
      <w:r w:rsidR="00167D6D" w:rsidRPr="000A4EFC">
        <w:rPr>
          <w:sz w:val="28"/>
          <w:szCs w:val="28"/>
          <w:lang w:val="en-GB"/>
        </w:rPr>
        <w:t xml:space="preserve">not yet </w:t>
      </w:r>
      <w:r w:rsidR="00761CC1" w:rsidRPr="000A4EFC">
        <w:rPr>
          <w:sz w:val="28"/>
          <w:szCs w:val="28"/>
          <w:lang w:val="en-GB"/>
        </w:rPr>
        <w:t xml:space="preserve">succeeded to </w:t>
      </w:r>
      <w:r w:rsidR="00167D6D" w:rsidRPr="000A4EFC">
        <w:rPr>
          <w:sz w:val="28"/>
          <w:szCs w:val="28"/>
          <w:lang w:val="en-GB"/>
        </w:rPr>
        <w:t xml:space="preserve">completely </w:t>
      </w:r>
      <w:r w:rsidR="00761CC1" w:rsidRPr="000A4EFC">
        <w:rPr>
          <w:sz w:val="28"/>
          <w:szCs w:val="28"/>
          <w:lang w:val="en-GB"/>
        </w:rPr>
        <w:t>close the gender gap</w:t>
      </w:r>
      <w:r w:rsidR="00DD0F32">
        <w:rPr>
          <w:sz w:val="28"/>
          <w:szCs w:val="28"/>
          <w:lang w:val="en-GB"/>
        </w:rPr>
        <w:t>,</w:t>
      </w:r>
      <w:r w:rsidR="00761CC1" w:rsidRPr="000A4EFC">
        <w:rPr>
          <w:sz w:val="28"/>
          <w:szCs w:val="28"/>
          <w:lang w:val="en-GB"/>
        </w:rPr>
        <w:t xml:space="preserve"> </w:t>
      </w:r>
      <w:r w:rsidR="00CE5236" w:rsidRPr="000A4EFC">
        <w:rPr>
          <w:sz w:val="28"/>
          <w:szCs w:val="28"/>
          <w:lang w:val="en-GB"/>
        </w:rPr>
        <w:t>n</w:t>
      </w:r>
      <w:r w:rsidR="00761CC1" w:rsidRPr="000A4EFC">
        <w:rPr>
          <w:sz w:val="28"/>
          <w:szCs w:val="28"/>
          <w:lang w:val="en-GB"/>
        </w:rPr>
        <w:t xml:space="preserve">or </w:t>
      </w:r>
      <w:r w:rsidR="00167D6D" w:rsidRPr="000A4EFC">
        <w:rPr>
          <w:sz w:val="28"/>
          <w:szCs w:val="28"/>
          <w:lang w:val="en-GB"/>
        </w:rPr>
        <w:t xml:space="preserve">do </w:t>
      </w:r>
      <w:r w:rsidR="00761CC1" w:rsidRPr="000A4EFC">
        <w:rPr>
          <w:sz w:val="28"/>
          <w:szCs w:val="28"/>
          <w:lang w:val="en-GB"/>
        </w:rPr>
        <w:t xml:space="preserve">we </w:t>
      </w:r>
      <w:r w:rsidR="00167D6D" w:rsidRPr="000A4EFC">
        <w:rPr>
          <w:sz w:val="28"/>
          <w:szCs w:val="28"/>
          <w:lang w:val="en-GB"/>
        </w:rPr>
        <w:t xml:space="preserve">claim to </w:t>
      </w:r>
      <w:r w:rsidR="00761CC1" w:rsidRPr="000A4EFC">
        <w:rPr>
          <w:sz w:val="28"/>
          <w:szCs w:val="28"/>
          <w:lang w:val="en-GB"/>
        </w:rPr>
        <w:t>have the perfect solutions</w:t>
      </w:r>
      <w:r w:rsidR="00CE5236" w:rsidRPr="000A4EFC">
        <w:rPr>
          <w:sz w:val="28"/>
          <w:szCs w:val="28"/>
          <w:lang w:val="en-GB"/>
        </w:rPr>
        <w:t xml:space="preserve">, but we have been </w:t>
      </w:r>
      <w:r w:rsidR="00CE5236" w:rsidRPr="000A4EFC">
        <w:rPr>
          <w:sz w:val="28"/>
          <w:szCs w:val="28"/>
          <w:lang w:val="en-GB"/>
        </w:rPr>
        <w:lastRenderedPageBreak/>
        <w:t>actively working with this matter for a long time.</w:t>
      </w:r>
      <w:r w:rsidR="00C46DA0" w:rsidRPr="000A4EFC">
        <w:rPr>
          <w:sz w:val="28"/>
          <w:szCs w:val="28"/>
          <w:lang w:val="en-GB"/>
        </w:rPr>
        <w:t xml:space="preserve"> </w:t>
      </w:r>
      <w:r w:rsidR="00727B2B">
        <w:rPr>
          <w:sz w:val="28"/>
          <w:szCs w:val="28"/>
          <w:lang w:val="en-GB"/>
        </w:rPr>
        <w:t xml:space="preserve">Hence </w:t>
      </w:r>
      <w:r w:rsidR="0092050B">
        <w:rPr>
          <w:sz w:val="28"/>
          <w:szCs w:val="28"/>
          <w:lang w:val="en-GB"/>
        </w:rPr>
        <w:t>I believe our experiences can be useful for others. While that is obvious in areas wh</w:t>
      </w:r>
      <w:r w:rsidR="00727B2B">
        <w:rPr>
          <w:sz w:val="28"/>
          <w:szCs w:val="28"/>
          <w:lang w:val="en-GB"/>
        </w:rPr>
        <w:t xml:space="preserve">ere progress has been made, </w:t>
      </w:r>
      <w:r w:rsidR="0092050B">
        <w:rPr>
          <w:sz w:val="28"/>
          <w:szCs w:val="28"/>
          <w:lang w:val="en-GB"/>
        </w:rPr>
        <w:t xml:space="preserve">there is also a lot to learn from our challenges or even mistakes. </w:t>
      </w:r>
      <w:r w:rsidR="00167D6D" w:rsidRPr="000A4EFC">
        <w:rPr>
          <w:sz w:val="28"/>
          <w:szCs w:val="28"/>
          <w:lang w:val="en-GB"/>
        </w:rPr>
        <w:t>Let me</w:t>
      </w:r>
      <w:r w:rsidR="0092050B">
        <w:rPr>
          <w:sz w:val="28"/>
          <w:szCs w:val="28"/>
          <w:lang w:val="en-GB"/>
        </w:rPr>
        <w:t xml:space="preserve"> therefore</w:t>
      </w:r>
      <w:r w:rsidR="00167D6D" w:rsidRPr="000A4EFC">
        <w:rPr>
          <w:sz w:val="28"/>
          <w:szCs w:val="28"/>
          <w:lang w:val="en-GB"/>
        </w:rPr>
        <w:t xml:space="preserve"> </w:t>
      </w:r>
      <w:r w:rsidR="00C46DA0" w:rsidRPr="000A4EFC">
        <w:rPr>
          <w:sz w:val="28"/>
          <w:szCs w:val="28"/>
          <w:lang w:val="en-GB"/>
        </w:rPr>
        <w:t>give you a few highlights how we have been thinking and acting on these is</w:t>
      </w:r>
      <w:r w:rsidR="00727B2B">
        <w:rPr>
          <w:sz w:val="28"/>
          <w:szCs w:val="28"/>
          <w:lang w:val="en-GB"/>
        </w:rPr>
        <w:t xml:space="preserve">sues, </w:t>
      </w:r>
      <w:r w:rsidR="0092050B">
        <w:rPr>
          <w:sz w:val="28"/>
          <w:szCs w:val="28"/>
          <w:lang w:val="en-GB"/>
        </w:rPr>
        <w:t>sharing both successes and failures.</w:t>
      </w:r>
      <w:r w:rsidR="00C46DA0" w:rsidRPr="000A4EFC">
        <w:rPr>
          <w:sz w:val="28"/>
          <w:szCs w:val="28"/>
          <w:lang w:val="en-GB"/>
        </w:rPr>
        <w:t xml:space="preserve"> </w:t>
      </w:r>
      <w:r w:rsidR="00CE5236" w:rsidRPr="000A4EFC">
        <w:rPr>
          <w:sz w:val="28"/>
          <w:szCs w:val="28"/>
          <w:lang w:val="en-GB"/>
        </w:rPr>
        <w:t xml:space="preserve"> </w:t>
      </w:r>
    </w:p>
    <w:p w:rsidR="0025406B" w:rsidRPr="000A4EFC" w:rsidRDefault="00CE5236" w:rsidP="000A4EFC">
      <w:pPr>
        <w:spacing w:line="480" w:lineRule="auto"/>
        <w:rPr>
          <w:sz w:val="28"/>
          <w:szCs w:val="28"/>
          <w:lang w:val="en-GB"/>
        </w:rPr>
      </w:pPr>
      <w:r w:rsidRPr="000A4EFC">
        <w:rPr>
          <w:sz w:val="28"/>
          <w:szCs w:val="28"/>
          <w:lang w:val="en-GB"/>
        </w:rPr>
        <w:t>Already 80 years ago – in 1937 – Sweden introduced the first forms of child allowance</w:t>
      </w:r>
      <w:r w:rsidR="0025406B" w:rsidRPr="000A4EFC">
        <w:rPr>
          <w:sz w:val="28"/>
          <w:szCs w:val="28"/>
          <w:lang w:val="en-GB"/>
        </w:rPr>
        <w:t>s</w:t>
      </w:r>
      <w:r w:rsidRPr="000A4EFC">
        <w:rPr>
          <w:sz w:val="28"/>
          <w:szCs w:val="28"/>
          <w:lang w:val="en-GB"/>
        </w:rPr>
        <w:t xml:space="preserve"> </w:t>
      </w:r>
      <w:r w:rsidR="0025406B" w:rsidRPr="000A4EFC">
        <w:rPr>
          <w:sz w:val="28"/>
          <w:szCs w:val="28"/>
          <w:lang w:val="en-GB"/>
        </w:rPr>
        <w:t xml:space="preserve">paid by the state </w:t>
      </w:r>
      <w:r w:rsidRPr="000A4EFC">
        <w:rPr>
          <w:sz w:val="28"/>
          <w:szCs w:val="28"/>
          <w:lang w:val="en-GB"/>
        </w:rPr>
        <w:t>to poor families.</w:t>
      </w:r>
      <w:r w:rsidR="00302CEE" w:rsidRPr="000A4EFC">
        <w:rPr>
          <w:sz w:val="28"/>
          <w:szCs w:val="28"/>
          <w:lang w:val="en-GB"/>
        </w:rPr>
        <w:t xml:space="preserve"> </w:t>
      </w:r>
      <w:r w:rsidRPr="000A4EFC">
        <w:rPr>
          <w:sz w:val="28"/>
          <w:szCs w:val="28"/>
          <w:lang w:val="en-GB"/>
        </w:rPr>
        <w:t xml:space="preserve">A decade later all </w:t>
      </w:r>
      <w:r w:rsidR="00264A0D" w:rsidRPr="000A4EFC">
        <w:rPr>
          <w:sz w:val="28"/>
          <w:szCs w:val="28"/>
          <w:lang w:val="en-GB"/>
        </w:rPr>
        <w:t>children qualified for this allowance</w:t>
      </w:r>
      <w:r w:rsidR="00302CEE" w:rsidRPr="000A4EFC">
        <w:rPr>
          <w:sz w:val="28"/>
          <w:szCs w:val="28"/>
          <w:lang w:val="en-GB"/>
        </w:rPr>
        <w:t>.</w:t>
      </w:r>
      <w:r w:rsidR="00E620FA" w:rsidRPr="000A4EFC">
        <w:rPr>
          <w:sz w:val="28"/>
          <w:szCs w:val="28"/>
          <w:lang w:val="en-GB"/>
        </w:rPr>
        <w:t xml:space="preserve"> </w:t>
      </w:r>
      <w:r w:rsidR="00302CEE" w:rsidRPr="000A4EFC">
        <w:rPr>
          <w:sz w:val="28"/>
          <w:szCs w:val="28"/>
          <w:lang w:val="en-GB"/>
        </w:rPr>
        <w:t xml:space="preserve">The reasons behind this allowance was to raise the birth numbers, alleviate </w:t>
      </w:r>
      <w:r w:rsidR="00E620FA" w:rsidRPr="000A4EFC">
        <w:rPr>
          <w:sz w:val="28"/>
          <w:szCs w:val="28"/>
          <w:lang w:val="en-GB"/>
        </w:rPr>
        <w:t xml:space="preserve">differences in </w:t>
      </w:r>
      <w:r w:rsidR="00302CEE" w:rsidRPr="000A4EFC">
        <w:rPr>
          <w:sz w:val="28"/>
          <w:szCs w:val="28"/>
          <w:lang w:val="en-GB"/>
        </w:rPr>
        <w:t>standard of living between families with many children and those without as well as reduce the number of children living in poverty</w:t>
      </w:r>
      <w:r w:rsidR="00E620FA" w:rsidRPr="000A4EFC">
        <w:rPr>
          <w:sz w:val="28"/>
          <w:szCs w:val="28"/>
          <w:lang w:val="en-GB"/>
        </w:rPr>
        <w:t xml:space="preserve">. </w:t>
      </w:r>
      <w:r w:rsidR="0025406B" w:rsidRPr="000A4EFC">
        <w:rPr>
          <w:sz w:val="28"/>
          <w:szCs w:val="28"/>
          <w:lang w:val="en-GB"/>
        </w:rPr>
        <w:t>Originally the allowances were paid out</w:t>
      </w:r>
      <w:r w:rsidR="00C46DA0" w:rsidRPr="000A4EFC">
        <w:rPr>
          <w:sz w:val="28"/>
          <w:szCs w:val="28"/>
          <w:lang w:val="en-GB"/>
        </w:rPr>
        <w:t xml:space="preserve"> only</w:t>
      </w:r>
      <w:r w:rsidR="0025406B" w:rsidRPr="000A4EFC">
        <w:rPr>
          <w:sz w:val="28"/>
          <w:szCs w:val="28"/>
          <w:lang w:val="en-GB"/>
        </w:rPr>
        <w:t xml:space="preserve"> to the mothers</w:t>
      </w:r>
      <w:r w:rsidR="00DD0F32">
        <w:rPr>
          <w:sz w:val="28"/>
          <w:szCs w:val="28"/>
          <w:lang w:val="en-GB"/>
        </w:rPr>
        <w:t>,</w:t>
      </w:r>
      <w:r w:rsidR="0025406B" w:rsidRPr="000A4EFC">
        <w:rPr>
          <w:sz w:val="28"/>
          <w:szCs w:val="28"/>
          <w:lang w:val="en-GB"/>
        </w:rPr>
        <w:t xml:space="preserve"> which meant that also single mothers could get some income to support their families.</w:t>
      </w:r>
    </w:p>
    <w:p w:rsidR="00A867F6" w:rsidRPr="000A4EFC" w:rsidRDefault="00A867F6" w:rsidP="000A4EFC">
      <w:pPr>
        <w:spacing w:line="480" w:lineRule="auto"/>
        <w:rPr>
          <w:sz w:val="28"/>
          <w:szCs w:val="28"/>
          <w:lang w:val="en-GB"/>
        </w:rPr>
      </w:pPr>
      <w:r w:rsidRPr="000A4EFC">
        <w:rPr>
          <w:sz w:val="28"/>
          <w:szCs w:val="28"/>
          <w:lang w:val="en-GB"/>
        </w:rPr>
        <w:t xml:space="preserve">Some of the most important reforms concerning gender equality took place in Sweden in the labour market and in social policy in the 1970s. These reforms pushed gender equality and increased women’s prospects to have the same opportunities as men to enter the labour market, and to </w:t>
      </w:r>
      <w:r w:rsidR="00167D6D" w:rsidRPr="000A4EFC">
        <w:rPr>
          <w:sz w:val="28"/>
          <w:szCs w:val="28"/>
          <w:lang w:val="en-GB"/>
        </w:rPr>
        <w:t>have a professional career</w:t>
      </w:r>
      <w:r w:rsidRPr="000A4EFC">
        <w:rPr>
          <w:sz w:val="28"/>
          <w:szCs w:val="28"/>
          <w:lang w:val="en-GB"/>
        </w:rPr>
        <w:t xml:space="preserve">. Separate income taxation created an incentive for women to </w:t>
      </w:r>
      <w:r w:rsidRPr="000A4EFC">
        <w:rPr>
          <w:sz w:val="28"/>
          <w:szCs w:val="28"/>
          <w:lang w:val="en-GB"/>
        </w:rPr>
        <w:lastRenderedPageBreak/>
        <w:t xml:space="preserve">work, as their income was no longer seen as part of the husband’s income. Hence it was more advantageous for both partners to work. </w:t>
      </w:r>
    </w:p>
    <w:p w:rsidR="00A867F6" w:rsidRPr="000A4EFC" w:rsidRDefault="00A867F6" w:rsidP="000A4EFC">
      <w:pPr>
        <w:spacing w:line="480" w:lineRule="auto"/>
        <w:rPr>
          <w:sz w:val="28"/>
          <w:szCs w:val="28"/>
          <w:lang w:val="en-GB"/>
        </w:rPr>
      </w:pPr>
      <w:r w:rsidRPr="000A4EFC">
        <w:rPr>
          <w:sz w:val="28"/>
          <w:szCs w:val="28"/>
          <w:lang w:val="en-GB"/>
        </w:rPr>
        <w:t xml:space="preserve">Parts of the unpaid household and care work, often performed by women, became the responsibility of the public welfare system. The broad expansion of the daycare and pre-school system began in the 1970s. Previously, women had made child-minding arrangements with the help of </w:t>
      </w:r>
      <w:r w:rsidR="005F3ECE">
        <w:rPr>
          <w:sz w:val="28"/>
          <w:szCs w:val="28"/>
          <w:lang w:val="en-GB"/>
        </w:rPr>
        <w:t>grand</w:t>
      </w:r>
      <w:r w:rsidRPr="000A4EFC">
        <w:rPr>
          <w:sz w:val="28"/>
          <w:szCs w:val="28"/>
          <w:lang w:val="en-GB"/>
        </w:rPr>
        <w:t>mothers, nannies, friends and relatives. The development of affordable public child care facilities available to all is a prerequisite to Sweden’s large proportion of women in gainful employment. Together with public elderly care, this gives families an opportunity to combine professional life and family life.</w:t>
      </w:r>
    </w:p>
    <w:p w:rsidR="00A867F6" w:rsidRPr="000A4EFC" w:rsidRDefault="00A867F6" w:rsidP="000A4EFC">
      <w:pPr>
        <w:spacing w:line="480" w:lineRule="auto"/>
        <w:rPr>
          <w:sz w:val="28"/>
          <w:szCs w:val="28"/>
          <w:lang w:val="en-GB"/>
        </w:rPr>
      </w:pPr>
      <w:r w:rsidRPr="000A4EFC">
        <w:rPr>
          <w:sz w:val="28"/>
          <w:szCs w:val="28"/>
          <w:lang w:val="en-GB"/>
        </w:rPr>
        <w:t>In addition, men were encouraged and enabled to participate in family life to a greater extent. In 1974, Sweden became the first country in the world to introduce a gender-neutral paid parental leave benefit. The family policy is aimed at supporting a dual-earner family model</w:t>
      </w:r>
      <w:r w:rsidR="00430394" w:rsidRPr="000A4EFC">
        <w:rPr>
          <w:sz w:val="28"/>
          <w:szCs w:val="28"/>
          <w:lang w:val="en-GB"/>
        </w:rPr>
        <w:t>.</w:t>
      </w:r>
      <w:r w:rsidRPr="000A4EFC">
        <w:rPr>
          <w:sz w:val="28"/>
          <w:szCs w:val="28"/>
          <w:lang w:val="en-GB"/>
        </w:rPr>
        <w:t xml:space="preserve"> </w:t>
      </w:r>
      <w:r w:rsidR="00167D6D" w:rsidRPr="000A4EFC">
        <w:rPr>
          <w:sz w:val="28"/>
          <w:szCs w:val="28"/>
          <w:lang w:val="en-GB"/>
        </w:rPr>
        <w:t>Promoting equal economic opportunities for women and men is a fundamental part of the gender equality policy</w:t>
      </w:r>
      <w:r w:rsidR="00430394" w:rsidRPr="000A4EFC">
        <w:rPr>
          <w:sz w:val="28"/>
          <w:szCs w:val="28"/>
          <w:lang w:val="en-GB"/>
        </w:rPr>
        <w:t>.</w:t>
      </w:r>
      <w:r w:rsidR="00167D6D" w:rsidRPr="000A4EFC">
        <w:rPr>
          <w:sz w:val="28"/>
          <w:szCs w:val="28"/>
          <w:lang w:val="en-GB"/>
        </w:rPr>
        <w:t xml:space="preserve"> </w:t>
      </w:r>
      <w:r w:rsidRPr="000A4EFC">
        <w:rPr>
          <w:sz w:val="28"/>
          <w:szCs w:val="28"/>
          <w:lang w:val="en-GB"/>
        </w:rPr>
        <w:t xml:space="preserve">Today women and men are entitled to </w:t>
      </w:r>
      <w:r w:rsidR="00B26CB3" w:rsidRPr="000A4EFC">
        <w:rPr>
          <w:sz w:val="28"/>
          <w:szCs w:val="28"/>
          <w:lang w:val="en-GB"/>
        </w:rPr>
        <w:t>16 months</w:t>
      </w:r>
      <w:r w:rsidRPr="000A4EFC">
        <w:rPr>
          <w:sz w:val="28"/>
          <w:szCs w:val="28"/>
          <w:lang w:val="en-GB"/>
        </w:rPr>
        <w:t xml:space="preserve"> of paid parental leave per child. Ninety of those days – 3 months – are </w:t>
      </w:r>
      <w:r w:rsidRPr="000A4EFC">
        <w:rPr>
          <w:sz w:val="28"/>
          <w:szCs w:val="28"/>
          <w:lang w:val="en-GB"/>
        </w:rPr>
        <w:lastRenderedPageBreak/>
        <w:t xml:space="preserve">reserved for each parent and cannot be transferred to the other </w:t>
      </w:r>
      <w:r w:rsidR="005F3ECE">
        <w:rPr>
          <w:sz w:val="28"/>
          <w:szCs w:val="28"/>
          <w:lang w:val="en-GB"/>
        </w:rPr>
        <w:t>parent. The rather recent introduction of</w:t>
      </w:r>
      <w:r w:rsidRPr="000A4EFC">
        <w:rPr>
          <w:sz w:val="28"/>
          <w:szCs w:val="28"/>
          <w:lang w:val="en-GB"/>
        </w:rPr>
        <w:t xml:space="preserve"> a third reserved month for each parent was a measure to achieve a more even distribution of unpaid household and care work, and gender equality in the labour market. </w:t>
      </w:r>
    </w:p>
    <w:p w:rsidR="003029DF" w:rsidRPr="000A4EFC" w:rsidRDefault="0092050B" w:rsidP="000A4EFC">
      <w:pPr>
        <w:spacing w:line="480" w:lineRule="auto"/>
        <w:rPr>
          <w:sz w:val="28"/>
          <w:szCs w:val="28"/>
          <w:lang w:val="en-GB"/>
        </w:rPr>
      </w:pPr>
      <w:r>
        <w:rPr>
          <w:sz w:val="28"/>
          <w:szCs w:val="28"/>
          <w:lang w:val="en-GB"/>
        </w:rPr>
        <w:t>Having said this, we</w:t>
      </w:r>
      <w:r w:rsidR="003029DF" w:rsidRPr="000A4EFC">
        <w:rPr>
          <w:sz w:val="28"/>
          <w:szCs w:val="28"/>
          <w:lang w:val="en-GB"/>
        </w:rPr>
        <w:t xml:space="preserve"> must also</w:t>
      </w:r>
      <w:r>
        <w:rPr>
          <w:sz w:val="28"/>
          <w:szCs w:val="28"/>
          <w:lang w:val="en-GB"/>
        </w:rPr>
        <w:t xml:space="preserve"> admit that Sweden </w:t>
      </w:r>
      <w:r w:rsidR="003029DF" w:rsidRPr="000A4EFC">
        <w:rPr>
          <w:sz w:val="28"/>
          <w:szCs w:val="28"/>
          <w:lang w:val="en-GB"/>
        </w:rPr>
        <w:t xml:space="preserve">still </w:t>
      </w:r>
      <w:r>
        <w:rPr>
          <w:sz w:val="28"/>
          <w:szCs w:val="28"/>
          <w:lang w:val="en-GB"/>
        </w:rPr>
        <w:t xml:space="preserve">has considerable work to do </w:t>
      </w:r>
      <w:r w:rsidR="005F3ECE">
        <w:rPr>
          <w:sz w:val="28"/>
          <w:szCs w:val="28"/>
          <w:lang w:val="en-GB"/>
        </w:rPr>
        <w:t xml:space="preserve">before we reach </w:t>
      </w:r>
      <w:r w:rsidR="003029DF" w:rsidRPr="000A4EFC">
        <w:rPr>
          <w:sz w:val="28"/>
          <w:szCs w:val="28"/>
          <w:lang w:val="en-GB"/>
        </w:rPr>
        <w:t>gender equality on the labour market.</w:t>
      </w:r>
      <w:r>
        <w:rPr>
          <w:sz w:val="28"/>
          <w:szCs w:val="28"/>
          <w:lang w:val="en-GB"/>
        </w:rPr>
        <w:t xml:space="preserve"> Let me therefore </w:t>
      </w:r>
      <w:r w:rsidR="005F3ECE">
        <w:rPr>
          <w:sz w:val="28"/>
          <w:szCs w:val="28"/>
          <w:lang w:val="en-GB"/>
        </w:rPr>
        <w:t xml:space="preserve">also </w:t>
      </w:r>
      <w:r>
        <w:rPr>
          <w:sz w:val="28"/>
          <w:szCs w:val="28"/>
          <w:lang w:val="en-GB"/>
        </w:rPr>
        <w:t>give you some concrete examples of our particular challenges.</w:t>
      </w:r>
      <w:r w:rsidR="003029DF" w:rsidRPr="000A4EFC">
        <w:rPr>
          <w:sz w:val="28"/>
          <w:szCs w:val="28"/>
          <w:lang w:val="en-GB"/>
        </w:rPr>
        <w:t xml:space="preserve">  </w:t>
      </w:r>
    </w:p>
    <w:p w:rsidR="003413A5" w:rsidRPr="000A4EFC" w:rsidRDefault="003413A5" w:rsidP="000A4EFC">
      <w:pPr>
        <w:spacing w:line="480" w:lineRule="auto"/>
        <w:rPr>
          <w:sz w:val="28"/>
          <w:szCs w:val="28"/>
          <w:lang w:val="en-GB"/>
        </w:rPr>
      </w:pPr>
      <w:r w:rsidRPr="000A4EFC">
        <w:rPr>
          <w:sz w:val="28"/>
          <w:szCs w:val="28"/>
          <w:lang w:val="en-GB"/>
        </w:rPr>
        <w:t xml:space="preserve">Sweden has a large proportion of women in gainful employment (2015) 78% compared to 83% men (age 20-64). However, it is still very common for women to work part-time, especially women in families with children. When children are born, women reduce their time in gainful employment, while men’s time in gainful employment increases. Almost 30 per cent of women work part-time, but studies show that many in fact would prefer to work more. The main reasons for many women working part-time are that they cannot find suitable full-time work, or are taking care of children. In recent years, there has also been an increase in temporary employment in the labour market, which affects women to a greater extent than men. The </w:t>
      </w:r>
      <w:r w:rsidRPr="000A4EFC">
        <w:rPr>
          <w:sz w:val="28"/>
          <w:szCs w:val="28"/>
          <w:lang w:val="en-GB"/>
        </w:rPr>
        <w:lastRenderedPageBreak/>
        <w:t xml:space="preserve">Government has tried to counteract this trend by introducing a legislative amendment to ensure that general fixed-term employment will be converted into indefinite-term employment if the aggregate length of employment in a general fixed-term position exceeds two years. </w:t>
      </w:r>
    </w:p>
    <w:p w:rsidR="00940D54" w:rsidRPr="000A4EFC" w:rsidRDefault="00EB13AE" w:rsidP="000A4EFC">
      <w:pPr>
        <w:spacing w:line="480" w:lineRule="auto"/>
        <w:rPr>
          <w:sz w:val="28"/>
          <w:szCs w:val="28"/>
          <w:lang w:val="en-GB"/>
        </w:rPr>
      </w:pPr>
      <w:r>
        <w:rPr>
          <w:sz w:val="28"/>
          <w:szCs w:val="28"/>
          <w:lang w:val="en-GB"/>
        </w:rPr>
        <w:t>Furthermore,</w:t>
      </w:r>
      <w:r w:rsidR="0002211B" w:rsidRPr="000A4EFC">
        <w:rPr>
          <w:sz w:val="28"/>
          <w:szCs w:val="28"/>
          <w:lang w:val="en-GB"/>
        </w:rPr>
        <w:t xml:space="preserve"> we still have a wage gap. </w:t>
      </w:r>
      <w:r w:rsidR="003029DF" w:rsidRPr="000A4EFC">
        <w:rPr>
          <w:sz w:val="28"/>
          <w:szCs w:val="28"/>
          <w:lang w:val="en-GB"/>
        </w:rPr>
        <w:t xml:space="preserve">When weighing in factors such as education, age, profession, sector and hours of work, the pay gap between men and women is 5 per cent (2015). Work in sectors dominated by women is generally valued less and these sectors have lower wage levels than ones dominated by men. Income disparities between women and men can also be explained by gender segregation on the labour market, and the fact that the equalising effect of the welfare systems has declined. The use of parental benefit days is currently unevenly distributed. </w:t>
      </w:r>
    </w:p>
    <w:p w:rsidR="00940D54" w:rsidRPr="000A4EFC" w:rsidRDefault="00940D54" w:rsidP="000A4EFC">
      <w:pPr>
        <w:spacing w:line="480" w:lineRule="auto"/>
        <w:rPr>
          <w:sz w:val="28"/>
          <w:szCs w:val="28"/>
          <w:lang w:val="en-GB"/>
        </w:rPr>
      </w:pPr>
      <w:r w:rsidRPr="000A4EFC">
        <w:rPr>
          <w:sz w:val="28"/>
          <w:szCs w:val="28"/>
          <w:lang w:val="en-GB"/>
        </w:rPr>
        <w:t>Even though all these measures to strengthen women’s economic independence have been successful and improved women’s pensions, w</w:t>
      </w:r>
      <w:r w:rsidRPr="000A4EFC">
        <w:rPr>
          <w:bCs/>
          <w:sz w:val="28"/>
          <w:szCs w:val="28"/>
          <w:lang w:val="en-GB"/>
        </w:rPr>
        <w:t>omen are still working part time to a greater extent than men and earn less over their life cycle. This means that they get a significantly lower pension than men.</w:t>
      </w:r>
    </w:p>
    <w:p w:rsidR="003029DF" w:rsidRDefault="007E3AAE" w:rsidP="000A4EFC">
      <w:pPr>
        <w:spacing w:line="480" w:lineRule="auto"/>
        <w:rPr>
          <w:sz w:val="28"/>
          <w:szCs w:val="28"/>
          <w:lang w:val="en-GB"/>
        </w:rPr>
      </w:pPr>
      <w:r w:rsidRPr="000A4EFC">
        <w:rPr>
          <w:sz w:val="28"/>
          <w:szCs w:val="28"/>
          <w:lang w:val="en-GB"/>
        </w:rPr>
        <w:t>Unless we can achieve a</w:t>
      </w:r>
      <w:r w:rsidR="003029DF" w:rsidRPr="000A4EFC">
        <w:rPr>
          <w:sz w:val="28"/>
          <w:szCs w:val="28"/>
          <w:lang w:val="en-GB"/>
        </w:rPr>
        <w:t xml:space="preserve"> gender-equal sharing of parental benefit days</w:t>
      </w:r>
      <w:r w:rsidRPr="000A4EFC">
        <w:rPr>
          <w:sz w:val="28"/>
          <w:szCs w:val="28"/>
          <w:lang w:val="en-GB"/>
        </w:rPr>
        <w:t xml:space="preserve"> it will be difficult to t</w:t>
      </w:r>
      <w:r w:rsidR="003029DF" w:rsidRPr="000A4EFC">
        <w:rPr>
          <w:sz w:val="28"/>
          <w:szCs w:val="28"/>
          <w:lang w:val="en-GB"/>
        </w:rPr>
        <w:t>ackl</w:t>
      </w:r>
      <w:r w:rsidRPr="000A4EFC">
        <w:rPr>
          <w:sz w:val="28"/>
          <w:szCs w:val="28"/>
          <w:lang w:val="en-GB"/>
        </w:rPr>
        <w:t>e</w:t>
      </w:r>
      <w:r w:rsidR="003029DF" w:rsidRPr="000A4EFC">
        <w:rPr>
          <w:sz w:val="28"/>
          <w:szCs w:val="28"/>
          <w:lang w:val="en-GB"/>
        </w:rPr>
        <w:t xml:space="preserve"> women’s less favourable working </w:t>
      </w:r>
      <w:r w:rsidR="003029DF" w:rsidRPr="000A4EFC">
        <w:rPr>
          <w:sz w:val="28"/>
          <w:szCs w:val="28"/>
          <w:lang w:val="en-GB"/>
        </w:rPr>
        <w:lastRenderedPageBreak/>
        <w:t xml:space="preserve">conditions and lower incomes. Education and labour market authorities also have an important task in promoting work in professions outside traditional gender roles.  </w:t>
      </w:r>
    </w:p>
    <w:p w:rsidR="00647853" w:rsidRDefault="0092050B" w:rsidP="000A4EFC">
      <w:pPr>
        <w:spacing w:line="480" w:lineRule="auto"/>
        <w:rPr>
          <w:sz w:val="28"/>
          <w:szCs w:val="28"/>
          <w:lang w:val="en-GB"/>
        </w:rPr>
      </w:pPr>
      <w:r>
        <w:rPr>
          <w:sz w:val="28"/>
          <w:szCs w:val="28"/>
          <w:lang w:val="en-GB"/>
        </w:rPr>
        <w:t xml:space="preserve">Ladies and gentlemen, </w:t>
      </w:r>
    </w:p>
    <w:p w:rsidR="0092050B" w:rsidRDefault="00647853" w:rsidP="000A4EFC">
      <w:pPr>
        <w:spacing w:line="480" w:lineRule="auto"/>
        <w:rPr>
          <w:sz w:val="28"/>
          <w:szCs w:val="28"/>
          <w:lang w:val="en-GB"/>
        </w:rPr>
      </w:pPr>
      <w:r>
        <w:rPr>
          <w:sz w:val="28"/>
          <w:szCs w:val="28"/>
          <w:lang w:val="en-GB"/>
        </w:rPr>
        <w:t>A main goal of this conference is to share and learn from each other’s experiences. I have certainly learned a lot from previous presentations and hope tha</w:t>
      </w:r>
      <w:r w:rsidR="005F3ECE">
        <w:rPr>
          <w:sz w:val="28"/>
          <w:szCs w:val="28"/>
          <w:lang w:val="en-GB"/>
        </w:rPr>
        <w:t>t you find these examples of</w:t>
      </w:r>
      <w:r>
        <w:rPr>
          <w:sz w:val="28"/>
          <w:szCs w:val="28"/>
          <w:lang w:val="en-GB"/>
        </w:rPr>
        <w:t xml:space="preserve"> Swedish experience</w:t>
      </w:r>
      <w:r w:rsidR="005F3ECE">
        <w:rPr>
          <w:sz w:val="28"/>
          <w:szCs w:val="28"/>
          <w:lang w:val="en-GB"/>
        </w:rPr>
        <w:t>s</w:t>
      </w:r>
      <w:r>
        <w:rPr>
          <w:sz w:val="28"/>
          <w:szCs w:val="28"/>
          <w:lang w:val="en-GB"/>
        </w:rPr>
        <w:t xml:space="preserve"> useful. </w:t>
      </w:r>
      <w:r w:rsidR="005F3ECE">
        <w:rPr>
          <w:sz w:val="28"/>
          <w:szCs w:val="28"/>
          <w:lang w:val="en-GB"/>
        </w:rPr>
        <w:t>I look forward to the discussion.</w:t>
      </w:r>
    </w:p>
    <w:p w:rsidR="00647853" w:rsidRPr="000A4EFC" w:rsidRDefault="00647853" w:rsidP="000A4EFC">
      <w:pPr>
        <w:spacing w:line="480" w:lineRule="auto"/>
        <w:rPr>
          <w:sz w:val="28"/>
          <w:szCs w:val="28"/>
          <w:lang w:val="en-GB"/>
        </w:rPr>
      </w:pPr>
      <w:r>
        <w:rPr>
          <w:sz w:val="28"/>
          <w:szCs w:val="28"/>
          <w:lang w:val="en-GB"/>
        </w:rPr>
        <w:t>Thank you very much for your attention.</w:t>
      </w:r>
    </w:p>
    <w:sectPr w:rsidR="00647853" w:rsidRPr="000A4EFC" w:rsidSect="000A4EFC">
      <w:pgSz w:w="11906" w:h="16838" w:code="9"/>
      <w:pgMar w:top="1418" w:right="3402"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5BE" w:rsidRDefault="002B45BE" w:rsidP="00A87A54">
      <w:pPr>
        <w:spacing w:after="0" w:line="240" w:lineRule="auto"/>
      </w:pPr>
      <w:r>
        <w:separator/>
      </w:r>
    </w:p>
  </w:endnote>
  <w:endnote w:type="continuationSeparator" w:id="0">
    <w:p w:rsidR="002B45BE" w:rsidRDefault="002B45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5BE" w:rsidRDefault="002B45BE" w:rsidP="00A87A54">
      <w:pPr>
        <w:spacing w:after="0" w:line="240" w:lineRule="auto"/>
      </w:pPr>
      <w:r>
        <w:separator/>
      </w:r>
    </w:p>
  </w:footnote>
  <w:footnote w:type="continuationSeparator" w:id="0">
    <w:p w:rsidR="002B45BE" w:rsidRDefault="002B45BE"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5D055490"/>
    <w:multiLevelType w:val="hybridMultilevel"/>
    <w:tmpl w:val="3AB820EA"/>
    <w:lvl w:ilvl="0" w:tplc="577A616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AC437A"/>
    <w:multiLevelType w:val="multilevel"/>
    <w:tmpl w:val="E2FEA49E"/>
    <w:numStyleLink w:val="RKNumreraderubriker"/>
  </w:abstractNum>
  <w:abstractNum w:abstractNumId="29" w15:restartNumberingAfterBreak="0">
    <w:nsid w:val="64780D1B"/>
    <w:multiLevelType w:val="multilevel"/>
    <w:tmpl w:val="1B563932"/>
    <w:numStyleLink w:val="RKNumreradlista"/>
  </w:abstractNum>
  <w:abstractNum w:abstractNumId="30" w15:restartNumberingAfterBreak="0">
    <w:nsid w:val="664239C2"/>
    <w:multiLevelType w:val="multilevel"/>
    <w:tmpl w:val="1A20A4CA"/>
    <w:numStyleLink w:val="RKPunktlista"/>
  </w:abstractNum>
  <w:abstractNum w:abstractNumId="31" w15:restartNumberingAfterBreak="0">
    <w:nsid w:val="6AA87A6A"/>
    <w:multiLevelType w:val="multilevel"/>
    <w:tmpl w:val="186C6512"/>
    <w:numStyleLink w:val="Strecklistan"/>
  </w:abstractNum>
  <w:abstractNum w:abstractNumId="32" w15:restartNumberingAfterBreak="0">
    <w:nsid w:val="6D8C68B4"/>
    <w:multiLevelType w:val="multilevel"/>
    <w:tmpl w:val="1B563932"/>
    <w:numStyleLink w:val="RKNumreradlista"/>
  </w:abstractNum>
  <w:abstractNum w:abstractNumId="3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466A28"/>
    <w:multiLevelType w:val="multilevel"/>
    <w:tmpl w:val="1A20A4CA"/>
    <w:numStyleLink w:val="RKPunktlista"/>
  </w:abstractNum>
  <w:abstractNum w:abstractNumId="35" w15:restartNumberingAfterBreak="0">
    <w:nsid w:val="76322898"/>
    <w:multiLevelType w:val="multilevel"/>
    <w:tmpl w:val="186C6512"/>
    <w:numStyleLink w:val="Strecklistan"/>
  </w:abstractNum>
  <w:num w:numId="1">
    <w:abstractNumId w:val="20"/>
  </w:num>
  <w:num w:numId="2">
    <w:abstractNumId w:val="28"/>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3"/>
  </w:num>
  <w:num w:numId="13">
    <w:abstractNumId w:val="25"/>
  </w:num>
  <w:num w:numId="14">
    <w:abstractNumId w:val="9"/>
  </w:num>
  <w:num w:numId="15">
    <w:abstractNumId w:val="7"/>
  </w:num>
  <w:num w:numId="16">
    <w:abstractNumId w:val="30"/>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4"/>
  </w:num>
  <w:num w:numId="26">
    <w:abstractNumId w:val="19"/>
  </w:num>
  <w:num w:numId="27">
    <w:abstractNumId w:val="31"/>
  </w:num>
  <w:num w:numId="28">
    <w:abstractNumId w:val="14"/>
  </w:num>
  <w:num w:numId="29">
    <w:abstractNumId w:val="12"/>
  </w:num>
  <w:num w:numId="30">
    <w:abstractNumId w:val="32"/>
  </w:num>
  <w:num w:numId="31">
    <w:abstractNumId w:val="11"/>
  </w:num>
  <w:num w:numId="32">
    <w:abstractNumId w:val="24"/>
  </w:num>
  <w:num w:numId="33">
    <w:abstractNumId w:val="29"/>
  </w:num>
  <w:num w:numId="34">
    <w:abstractNumId w:val="35"/>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BE"/>
    <w:rsid w:val="00004D5C"/>
    <w:rsid w:val="00005F68"/>
    <w:rsid w:val="00012B00"/>
    <w:rsid w:val="00017386"/>
    <w:rsid w:val="0002211B"/>
    <w:rsid w:val="00026711"/>
    <w:rsid w:val="00041EDC"/>
    <w:rsid w:val="00057FE0"/>
    <w:rsid w:val="000757FC"/>
    <w:rsid w:val="000862E0"/>
    <w:rsid w:val="00093408"/>
    <w:rsid w:val="0009435C"/>
    <w:rsid w:val="000A4EFC"/>
    <w:rsid w:val="000C61D1"/>
    <w:rsid w:val="000E12D9"/>
    <w:rsid w:val="000E52FD"/>
    <w:rsid w:val="000F00B8"/>
    <w:rsid w:val="00111809"/>
    <w:rsid w:val="00121002"/>
    <w:rsid w:val="00167D6D"/>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5406B"/>
    <w:rsid w:val="00260D2D"/>
    <w:rsid w:val="00264A0D"/>
    <w:rsid w:val="00281106"/>
    <w:rsid w:val="00282D27"/>
    <w:rsid w:val="00292420"/>
    <w:rsid w:val="002B45BE"/>
    <w:rsid w:val="002E4D3F"/>
    <w:rsid w:val="002F66A6"/>
    <w:rsid w:val="003029DF"/>
    <w:rsid w:val="00302CEE"/>
    <w:rsid w:val="003050DB"/>
    <w:rsid w:val="00307E0B"/>
    <w:rsid w:val="00310561"/>
    <w:rsid w:val="003128E2"/>
    <w:rsid w:val="00314336"/>
    <w:rsid w:val="00326C03"/>
    <w:rsid w:val="00340DE0"/>
    <w:rsid w:val="003413A5"/>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3A08"/>
    <w:rsid w:val="003E6020"/>
    <w:rsid w:val="0041223B"/>
    <w:rsid w:val="0042068E"/>
    <w:rsid w:val="00430394"/>
    <w:rsid w:val="00432DD0"/>
    <w:rsid w:val="00457192"/>
    <w:rsid w:val="004660C8"/>
    <w:rsid w:val="00472EBA"/>
    <w:rsid w:val="00474676"/>
    <w:rsid w:val="0047511B"/>
    <w:rsid w:val="00477688"/>
    <w:rsid w:val="00480EC3"/>
    <w:rsid w:val="0048317E"/>
    <w:rsid w:val="00485601"/>
    <w:rsid w:val="004865B8"/>
    <w:rsid w:val="00486C0D"/>
    <w:rsid w:val="00491796"/>
    <w:rsid w:val="004A09A7"/>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E2F29"/>
    <w:rsid w:val="005E4E79"/>
    <w:rsid w:val="005F02DC"/>
    <w:rsid w:val="005F3ECE"/>
    <w:rsid w:val="006175D7"/>
    <w:rsid w:val="006208E5"/>
    <w:rsid w:val="00631F82"/>
    <w:rsid w:val="00647853"/>
    <w:rsid w:val="00654B4D"/>
    <w:rsid w:val="00670A48"/>
    <w:rsid w:val="00672F6F"/>
    <w:rsid w:val="006731FD"/>
    <w:rsid w:val="0069523C"/>
    <w:rsid w:val="006B4A30"/>
    <w:rsid w:val="006B7569"/>
    <w:rsid w:val="006D09A9"/>
    <w:rsid w:val="006D3188"/>
    <w:rsid w:val="006D59F9"/>
    <w:rsid w:val="006E08FC"/>
    <w:rsid w:val="006F2588"/>
    <w:rsid w:val="00710A6C"/>
    <w:rsid w:val="00712266"/>
    <w:rsid w:val="00727B2B"/>
    <w:rsid w:val="00732C27"/>
    <w:rsid w:val="00750C93"/>
    <w:rsid w:val="00757B3B"/>
    <w:rsid w:val="00761CC1"/>
    <w:rsid w:val="00773075"/>
    <w:rsid w:val="00782B3F"/>
    <w:rsid w:val="0079641B"/>
    <w:rsid w:val="007A629C"/>
    <w:rsid w:val="007B2982"/>
    <w:rsid w:val="007C44FF"/>
    <w:rsid w:val="007C6E5D"/>
    <w:rsid w:val="007C7BDB"/>
    <w:rsid w:val="007D73AB"/>
    <w:rsid w:val="007E2EF8"/>
    <w:rsid w:val="007E3AAE"/>
    <w:rsid w:val="007F516C"/>
    <w:rsid w:val="00804C1B"/>
    <w:rsid w:val="00816677"/>
    <w:rsid w:val="008178E6"/>
    <w:rsid w:val="008375D5"/>
    <w:rsid w:val="00875DDD"/>
    <w:rsid w:val="00891929"/>
    <w:rsid w:val="008A0A0D"/>
    <w:rsid w:val="008C562B"/>
    <w:rsid w:val="008C7489"/>
    <w:rsid w:val="008D3090"/>
    <w:rsid w:val="008D4306"/>
    <w:rsid w:val="008D4508"/>
    <w:rsid w:val="008E77D6"/>
    <w:rsid w:val="0092050B"/>
    <w:rsid w:val="0093335A"/>
    <w:rsid w:val="00940D54"/>
    <w:rsid w:val="0094502D"/>
    <w:rsid w:val="00947013"/>
    <w:rsid w:val="00957413"/>
    <w:rsid w:val="00986CC3"/>
    <w:rsid w:val="009920AA"/>
    <w:rsid w:val="009A4D0A"/>
    <w:rsid w:val="009C2459"/>
    <w:rsid w:val="009D5D40"/>
    <w:rsid w:val="009D6B1B"/>
    <w:rsid w:val="009E107B"/>
    <w:rsid w:val="009E18D6"/>
    <w:rsid w:val="009F05EE"/>
    <w:rsid w:val="00A01F5C"/>
    <w:rsid w:val="00A061BD"/>
    <w:rsid w:val="00A3270B"/>
    <w:rsid w:val="00A43B02"/>
    <w:rsid w:val="00A5156E"/>
    <w:rsid w:val="00A56824"/>
    <w:rsid w:val="00A65C80"/>
    <w:rsid w:val="00A67276"/>
    <w:rsid w:val="00A67840"/>
    <w:rsid w:val="00A743AC"/>
    <w:rsid w:val="00A867F6"/>
    <w:rsid w:val="00A87A54"/>
    <w:rsid w:val="00AA1809"/>
    <w:rsid w:val="00AA703B"/>
    <w:rsid w:val="00AB6313"/>
    <w:rsid w:val="00AF0BB7"/>
    <w:rsid w:val="00AF0EDE"/>
    <w:rsid w:val="00B06751"/>
    <w:rsid w:val="00B071BE"/>
    <w:rsid w:val="00B2169D"/>
    <w:rsid w:val="00B21CBB"/>
    <w:rsid w:val="00B26CB3"/>
    <w:rsid w:val="00B316CA"/>
    <w:rsid w:val="00B41F72"/>
    <w:rsid w:val="00B517E1"/>
    <w:rsid w:val="00B55E70"/>
    <w:rsid w:val="00B639D8"/>
    <w:rsid w:val="00B71597"/>
    <w:rsid w:val="00B84409"/>
    <w:rsid w:val="00BB5683"/>
    <w:rsid w:val="00BD0826"/>
    <w:rsid w:val="00BE3210"/>
    <w:rsid w:val="00C141C6"/>
    <w:rsid w:val="00C2071A"/>
    <w:rsid w:val="00C20ACB"/>
    <w:rsid w:val="00C26068"/>
    <w:rsid w:val="00C271A8"/>
    <w:rsid w:val="00C37A77"/>
    <w:rsid w:val="00C4042C"/>
    <w:rsid w:val="00C461E6"/>
    <w:rsid w:val="00C46DA0"/>
    <w:rsid w:val="00C93EBA"/>
    <w:rsid w:val="00CA4E2C"/>
    <w:rsid w:val="00CA7FF5"/>
    <w:rsid w:val="00CB1E7C"/>
    <w:rsid w:val="00CB2EA1"/>
    <w:rsid w:val="00CB43F1"/>
    <w:rsid w:val="00CB444A"/>
    <w:rsid w:val="00CB6EDE"/>
    <w:rsid w:val="00CC41BA"/>
    <w:rsid w:val="00CD1C6C"/>
    <w:rsid w:val="00CD6169"/>
    <w:rsid w:val="00CE5236"/>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D0F32"/>
    <w:rsid w:val="00DF5BFB"/>
    <w:rsid w:val="00E469E4"/>
    <w:rsid w:val="00E475C3"/>
    <w:rsid w:val="00E509B0"/>
    <w:rsid w:val="00E620FA"/>
    <w:rsid w:val="00E7634A"/>
    <w:rsid w:val="00E82BA3"/>
    <w:rsid w:val="00EA1688"/>
    <w:rsid w:val="00EB13AE"/>
    <w:rsid w:val="00ED592E"/>
    <w:rsid w:val="00ED6ABD"/>
    <w:rsid w:val="00EE3C0F"/>
    <w:rsid w:val="00EF2A7F"/>
    <w:rsid w:val="00EF78B1"/>
    <w:rsid w:val="00F03EAC"/>
    <w:rsid w:val="00F14024"/>
    <w:rsid w:val="00F259D7"/>
    <w:rsid w:val="00F32D05"/>
    <w:rsid w:val="00F35263"/>
    <w:rsid w:val="00F53AEA"/>
    <w:rsid w:val="00F56D69"/>
    <w:rsid w:val="00F66093"/>
    <w:rsid w:val="00F848D6"/>
    <w:rsid w:val="00FA5DDD"/>
    <w:rsid w:val="00FD0B7B"/>
    <w:rsid w:val="00FD4E71"/>
    <w:rsid w:val="00FD7CEC"/>
    <w:rsid w:val="00FE1C8B"/>
    <w:rsid w:val="00FE7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834AC5"/>
  <w15:docId w15:val="{AF98A18D-3F3E-43DE-A2B6-81AA634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C4BFD"/>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957413"/>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CC41B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semiHidden/>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semiHidden/>
    <w:rsid w:val="00957413"/>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ListParagraph">
    <w:name w:val="List Paragraph"/>
    <w:basedOn w:val="Normal"/>
    <w:uiPriority w:val="34"/>
    <w:semiHidden/>
    <w:qFormat/>
    <w:rsid w:val="00EF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5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02E603B1-96A3-457B-9AED-40575AA0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5800</Words>
  <Characters>3306</Characters>
  <Application>Microsoft Office Word</Application>
  <DocSecurity>4</DocSecurity>
  <Lines>27</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Regeringskansliet RK IT</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Kaarlo Laakso</dc:creator>
  <cp:lastModifiedBy>Diana Mickevičienė</cp:lastModifiedBy>
  <cp:revision>2</cp:revision>
  <dcterms:created xsi:type="dcterms:W3CDTF">2017-08-17T10:31:00Z</dcterms:created>
  <dcterms:modified xsi:type="dcterms:W3CDTF">2017-08-17T10:31:00Z</dcterms:modified>
</cp:coreProperties>
</file>